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426"/>
        <w:rPr>
          <w:rFonts w:cs="Calibri" w:cstheme="minorHAnsi"/>
          <w:sz w:val="24"/>
          <w:szCs w:val="24"/>
        </w:rPr>
      </w:pPr>
      <w:r>
        <w:rPr>
          <w:rFonts w:cs="Calibri" w:cstheme="minorHAnsi"/>
          <w:sz w:val="24"/>
          <w:szCs w:val="24"/>
        </w:rPr>
        <w:t xml:space="preserve">Описание изменений в </w:t>
      </w:r>
      <w:r>
        <w:rPr>
          <w:rFonts w:cs="Calibri" w:cstheme="minorHAnsi"/>
          <w:bCs/>
          <w:sz w:val="24"/>
          <w:szCs w:val="24"/>
        </w:rPr>
        <w:t>«Условия осуществления депозитарной деятельности в ООО КБ «ГТ банк»</w:t>
      </w:r>
      <w:r>
        <w:rPr>
          <w:rFonts w:cs="Calibri" w:cstheme="minorHAnsi"/>
          <w:sz w:val="24"/>
          <w:szCs w:val="24"/>
        </w:rPr>
        <w:t xml:space="preserve"> (клиентский регламент)» (да</w:t>
      </w:r>
      <w:bookmarkStart w:id="0" w:name="_GoBack"/>
      <w:bookmarkEnd w:id="0"/>
      <w:r>
        <w:rPr>
          <w:rFonts w:cs="Calibri" w:cstheme="minorHAnsi"/>
          <w:sz w:val="24"/>
          <w:szCs w:val="24"/>
        </w:rPr>
        <w:t>лее – Условия)</w:t>
      </w:r>
    </w:p>
    <w:p>
      <w:pPr>
        <w:pStyle w:val="Normal"/>
        <w:ind w:hanging="426"/>
        <w:rPr>
          <w:rFonts w:cs="Calibri" w:cstheme="minorHAnsi"/>
          <w:sz w:val="24"/>
          <w:szCs w:val="24"/>
        </w:rPr>
      </w:pPr>
      <w:r>
        <w:rPr>
          <w:rFonts w:cs="Calibri" w:cstheme="minorHAnsi"/>
          <w:sz w:val="24"/>
          <w:szCs w:val="24"/>
        </w:rPr>
        <w:t>Октябрь 2025</w:t>
      </w:r>
    </w:p>
    <w:p>
      <w:pPr>
        <w:pStyle w:val="Normal"/>
        <w:ind w:hanging="426"/>
        <w:rPr>
          <w:rFonts w:cs="Calibri" w:cstheme="minorHAnsi"/>
          <w:sz w:val="24"/>
          <w:szCs w:val="24"/>
        </w:rPr>
      </w:pPr>
      <w:r>
        <w:rPr>
          <w:rFonts w:cs="Calibri" w:cstheme="minorHAnsi"/>
          <w:sz w:val="24"/>
          <w:szCs w:val="24"/>
        </w:rPr>
      </w:r>
    </w:p>
    <w:p>
      <w:pPr>
        <w:pStyle w:val="ListParagraph"/>
        <w:numPr>
          <w:ilvl w:val="0"/>
          <w:numId w:val="1"/>
        </w:numPr>
        <w:ind w:left="284" w:hanging="284"/>
        <w:rPr>
          <w:sz w:val="24"/>
          <w:szCs w:val="24"/>
        </w:rPr>
      </w:pPr>
      <w:r>
        <w:rPr>
          <w:sz w:val="24"/>
          <w:szCs w:val="24"/>
        </w:rPr>
        <w:t>п.2.7 дополнен словами: "Заключение Договоров возможно только при условии наличия заключенного с Банком договора банковского счета."</w:t>
      </w:r>
    </w:p>
    <w:p>
      <w:pPr>
        <w:pStyle w:val="Style18"/>
        <w:numPr>
          <w:ilvl w:val="0"/>
          <w:numId w:val="1"/>
        </w:numPr>
        <w:tabs>
          <w:tab w:val="clear" w:pos="652"/>
          <w:tab w:val="left" w:pos="284" w:leader="none"/>
        </w:tabs>
        <w:ind w:left="-426" w:firstLine="426"/>
        <w:rPr>
          <w:sz w:val="24"/>
          <w:szCs w:val="24"/>
        </w:rPr>
      </w:pPr>
      <w:r>
        <w:rPr>
          <w:sz w:val="24"/>
          <w:szCs w:val="24"/>
        </w:rPr>
        <w:t>п.2.8 дополнен словами: "Специалисты Банка могут заверять копии документов с оригиналов документов клиентов, при предоставлении таковых Депонентом / Уполномоченным представителем."</w:t>
      </w:r>
    </w:p>
    <w:p>
      <w:pPr>
        <w:pStyle w:val="ListParagraph"/>
        <w:numPr>
          <w:ilvl w:val="0"/>
          <w:numId w:val="1"/>
        </w:numPr>
        <w:tabs>
          <w:tab w:val="clear" w:pos="652"/>
          <w:tab w:val="left" w:pos="284" w:leader="none"/>
          <w:tab w:val="left" w:pos="851" w:leader="none"/>
        </w:tabs>
        <w:ind w:left="-426" w:firstLine="426"/>
        <w:rPr>
          <w:sz w:val="24"/>
          <w:szCs w:val="24"/>
        </w:rPr>
      </w:pPr>
      <w:r>
        <w:rPr>
          <w:sz w:val="24"/>
          <w:szCs w:val="24"/>
        </w:rPr>
        <w:t>удалено: "п. 2.14 Банк осуществляет открытие и облуживание счетов депо Депонента с учетом того, что Депонент - физическое лицо/представитель Депонента – Юридического лица/Уполномоченный представитель/бенефициары дают свое согласие Банку на обработку, в том числе автоматизированную, своих персональных данных в соответствии с Федеральным законом «О персональных данных» от 27.07.2006 № 152-ФЗ. Согласие предоставляется с момента заключения Депозитарного договора. Открытие и ведение Счетов депо осуществляется Депозитарием с учетом требований Федерального закона 115-ФЗ."</w:t>
      </w:r>
    </w:p>
    <w:p>
      <w:pPr>
        <w:pStyle w:val="ListParagraph"/>
        <w:tabs>
          <w:tab w:val="clear" w:pos="652"/>
          <w:tab w:val="left" w:pos="284" w:leader="none"/>
          <w:tab w:val="left" w:pos="851" w:leader="none"/>
        </w:tabs>
        <w:ind w:left="0" w:hanging="0"/>
        <w:rPr>
          <w:sz w:val="24"/>
          <w:szCs w:val="24"/>
        </w:rPr>
      </w:pPr>
      <w:r>
        <w:rPr>
          <w:sz w:val="24"/>
          <w:szCs w:val="24"/>
        </w:rPr>
        <w:t xml:space="preserve"> </w:t>
      </w:r>
    </w:p>
    <w:p>
      <w:pPr>
        <w:pStyle w:val="ListParagraph"/>
        <w:numPr>
          <w:ilvl w:val="0"/>
          <w:numId w:val="1"/>
        </w:numPr>
        <w:tabs>
          <w:tab w:val="clear" w:pos="652"/>
          <w:tab w:val="left" w:pos="284" w:leader="none"/>
          <w:tab w:val="left" w:pos="709" w:leader="none"/>
        </w:tabs>
        <w:ind w:left="-426" w:firstLine="426"/>
        <w:rPr>
          <w:sz w:val="24"/>
          <w:szCs w:val="24"/>
        </w:rPr>
      </w:pPr>
      <w:r>
        <w:rPr>
          <w:sz w:val="24"/>
          <w:szCs w:val="24"/>
        </w:rPr>
        <w:t>п.4.1 «Порядок заключения договора» перенумерован в п.4.2. Удален текст: «При заключении Договора и при проведении сверки актуальности данных, указанных в Анкете Депонента юридического лица (Приложения 14 к Условиям), Депозитарий проверяет/устанавливает сведения о доменном имени, указателе страницы сайта в сети «Интернет», с использованием которых лицом оказываются услуги (при наличии), предоставленные Депонентом, со сведениями, содержащимися в «Едином реестре доменных имен, указателей страниц сайтов с сети «Интернет» и сетевых ресурсов, позволяющих идентифицировать сайты в сети «Интернет», содержащие информацию, распространение которой в Российской Федерации запрещено» по адресу https://eais.rkn.gov.ru/. На основании предоставленных сведений от Депонента, Депозитарий также проверяет/устанавливает данные сведения в отношении представителей Депонента, являющихся юридическими лицами.»</w:t>
      </w:r>
    </w:p>
    <w:p>
      <w:pPr>
        <w:pStyle w:val="ListParagraph"/>
        <w:rPr>
          <w:sz w:val="24"/>
          <w:szCs w:val="24"/>
        </w:rPr>
      </w:pPr>
      <w:r>
        <w:rPr>
          <w:sz w:val="24"/>
          <w:szCs w:val="24"/>
        </w:rPr>
      </w:r>
    </w:p>
    <w:p>
      <w:pPr>
        <w:pStyle w:val="ListParagraph"/>
        <w:numPr>
          <w:ilvl w:val="0"/>
          <w:numId w:val="1"/>
        </w:numPr>
        <w:tabs>
          <w:tab w:val="clear" w:pos="652"/>
          <w:tab w:val="left" w:pos="284" w:leader="none"/>
          <w:tab w:val="left" w:pos="709" w:leader="none"/>
        </w:tabs>
        <w:ind w:left="360" w:hanging="360"/>
        <w:rPr>
          <w:sz w:val="24"/>
          <w:szCs w:val="24"/>
        </w:rPr>
      </w:pPr>
      <w:r>
        <w:rPr>
          <w:sz w:val="24"/>
          <w:szCs w:val="24"/>
        </w:rPr>
        <w:t>в п.6.1 удален текст: «- заполненная инициатором процедуры приема на обслуживание выпуска ценных бумаг анкета выпуска ценных бумаг;»</w:t>
      </w:r>
    </w:p>
    <w:p>
      <w:pPr>
        <w:pStyle w:val="ListParagraph"/>
        <w:rPr>
          <w:sz w:val="24"/>
          <w:szCs w:val="24"/>
        </w:rPr>
      </w:pPr>
      <w:r>
        <w:rPr>
          <w:sz w:val="24"/>
          <w:szCs w:val="24"/>
        </w:rPr>
      </w:r>
    </w:p>
    <w:p>
      <w:pPr>
        <w:pStyle w:val="ListParagraph"/>
        <w:numPr>
          <w:ilvl w:val="0"/>
          <w:numId w:val="1"/>
        </w:numPr>
        <w:tabs>
          <w:tab w:val="clear" w:pos="652"/>
          <w:tab w:val="left" w:pos="284" w:leader="none"/>
          <w:tab w:val="left" w:pos="709" w:leader="none"/>
        </w:tabs>
        <w:ind w:left="360" w:hanging="360"/>
        <w:rPr>
          <w:sz w:val="24"/>
          <w:szCs w:val="24"/>
        </w:rPr>
      </w:pPr>
      <w:r>
        <w:rPr>
          <w:sz w:val="24"/>
          <w:szCs w:val="24"/>
        </w:rPr>
        <w:t>внесены изменения в п.16.</w:t>
      </w:r>
    </w:p>
    <w:p>
      <w:pPr>
        <w:pStyle w:val="ListParagraph"/>
        <w:rPr>
          <w:sz w:val="24"/>
          <w:szCs w:val="24"/>
        </w:rPr>
      </w:pPr>
      <w:r>
        <w:rPr>
          <w:sz w:val="24"/>
          <w:szCs w:val="24"/>
        </w:rPr>
      </w:r>
    </w:p>
    <w:p>
      <w:pPr>
        <w:pStyle w:val="ListParagraph"/>
        <w:numPr>
          <w:ilvl w:val="0"/>
          <w:numId w:val="1"/>
        </w:numPr>
        <w:tabs>
          <w:tab w:val="clear" w:pos="652"/>
          <w:tab w:val="left" w:pos="0" w:leader="none"/>
          <w:tab w:val="left" w:pos="284" w:leader="none"/>
        </w:tabs>
        <w:ind w:left="-426" w:firstLine="426"/>
        <w:rPr>
          <w:sz w:val="24"/>
          <w:szCs w:val="24"/>
        </w:rPr>
      </w:pPr>
      <w:r>
        <w:rPr>
          <w:sz w:val="24"/>
          <w:szCs w:val="24"/>
        </w:rPr>
        <w:t>в п.17.3 удален текст: «Основанием для зачисления ценных бумаг на Счет депо является принятие Депозитарием поручения на списание ценных бумаг со счета неустановленных лиц, открытого этим Депозитарием, если такое поручение содержит указание на то, что списание осуществляется в связи с возвратом ценных бумаг на лицевой счет или счет депо, с которого были списаны такие ценные бумаги или ценные бумаги, которые были в них конвертированы, либо предоставление Держателем реестра владельцев ценных бумаг или депозитарием, открывшим Депозитарию Счет Депозитария, отчета об операции по зачислению ценных бумаг на указанный счет в связи с их возвратом на лицевой счет или счет депо, с которого были списаны такие ценные бумаги или ценные бумаги, которые были в них конвертированы.»</w:t>
      </w:r>
    </w:p>
    <w:p>
      <w:pPr>
        <w:pStyle w:val="ListParagraph"/>
        <w:rPr>
          <w:sz w:val="24"/>
          <w:szCs w:val="24"/>
        </w:rPr>
      </w:pPr>
      <w:r>
        <w:rPr>
          <w:sz w:val="24"/>
          <w:szCs w:val="24"/>
        </w:rPr>
      </w:r>
    </w:p>
    <w:p>
      <w:pPr>
        <w:pStyle w:val="ListParagraph"/>
        <w:numPr>
          <w:ilvl w:val="0"/>
          <w:numId w:val="1"/>
        </w:numPr>
        <w:tabs>
          <w:tab w:val="clear" w:pos="652"/>
          <w:tab w:val="left" w:pos="0" w:leader="none"/>
          <w:tab w:val="left" w:pos="284" w:leader="none"/>
        </w:tabs>
        <w:ind w:left="-426" w:firstLine="426"/>
        <w:rPr>
          <w:sz w:val="24"/>
          <w:szCs w:val="24"/>
        </w:rPr>
      </w:pPr>
      <w:r>
        <w:rPr>
          <w:sz w:val="24"/>
          <w:szCs w:val="24"/>
        </w:rPr>
        <w:t xml:space="preserve">внесены изменения в пункт 37. Конфиденциальность. В соответствии с вступлением в силу Указания Банка России от 15.07.2025 N 7130-У и изменений в ФЗ "О рынке ценных бумаг" от 22.04.1996 N 39-ФЗ дополнен п.37.5. </w:t>
      </w:r>
    </w:p>
    <w:p>
      <w:pPr>
        <w:pStyle w:val="ListParagraph"/>
        <w:rPr>
          <w:sz w:val="24"/>
          <w:szCs w:val="24"/>
        </w:rPr>
      </w:pPr>
      <w:r>
        <w:rPr>
          <w:sz w:val="24"/>
          <w:szCs w:val="24"/>
        </w:rPr>
      </w:r>
    </w:p>
    <w:p>
      <w:pPr>
        <w:pStyle w:val="Style25"/>
        <w:numPr>
          <w:ilvl w:val="0"/>
          <w:numId w:val="1"/>
        </w:numPr>
        <w:spacing w:before="120" w:after="120"/>
        <w:ind w:left="284" w:hanging="284"/>
        <w:rPr>
          <w:sz w:val="24"/>
          <w:szCs w:val="24"/>
        </w:rPr>
      </w:pPr>
      <w:r>
        <w:rPr>
          <w:sz w:val="24"/>
          <w:szCs w:val="24"/>
        </w:rPr>
        <w:t xml:space="preserve">Приложение №1 «Заявление на депозитарное обслуживание (для Клиентов – физических лиц)» </w:t>
      </w:r>
    </w:p>
    <w:p>
      <w:pPr>
        <w:pStyle w:val="Style25"/>
        <w:numPr>
          <w:ilvl w:val="0"/>
          <w:numId w:val="2"/>
        </w:numPr>
        <w:spacing w:before="120" w:after="120"/>
        <w:rPr>
          <w:sz w:val="24"/>
          <w:szCs w:val="24"/>
        </w:rPr>
      </w:pPr>
      <w:r>
        <w:rPr>
          <w:sz w:val="24"/>
          <w:szCs w:val="24"/>
        </w:rPr>
        <w:t xml:space="preserve">дополнено словами: </w:t>
      </w:r>
    </w:p>
    <w:p>
      <w:pPr>
        <w:pStyle w:val="Style25"/>
        <w:spacing w:before="120" w:after="120"/>
        <w:ind w:left="-284" w:firstLine="284"/>
        <w:rPr>
          <w:rFonts w:ascii="Arial" w:hAnsi="Arial" w:eastAsia="Times New Roman" w:cs="Arial"/>
          <w:b/>
          <w:b/>
          <w:i/>
          <w:i/>
          <w:sz w:val="18"/>
          <w:szCs w:val="20"/>
          <w:lang w:eastAsia="ru-RU"/>
        </w:rPr>
      </w:pPr>
      <w:r>
        <w:rPr>
          <w:sz w:val="24"/>
          <w:szCs w:val="24"/>
        </w:rPr>
        <w:t>«</w:t>
      </w:r>
      <w:r>
        <w:rPr>
          <w:rFonts w:eastAsia="Times New Roman" w:cs="Arial" w:ascii="Arial" w:hAnsi="Arial"/>
          <w:b/>
          <w:i/>
          <w:sz w:val="18"/>
          <w:szCs w:val="20"/>
          <w:lang w:eastAsia="ru-RU"/>
        </w:rPr>
        <w:t>- установить тарифный план</w:t>
      </w:r>
    </w:p>
    <w:p>
      <w:pPr>
        <w:pStyle w:val="Normal"/>
        <w:spacing w:lineRule="auto" w:line="240" w:before="120" w:after="0"/>
        <w:ind w:left="-284" w:firstLine="284"/>
        <w:jc w:val="both"/>
        <w:rPr/>
      </w:pPr>
      <w:r>
        <w:fldChar w:fldCharType="begin">
          <w:ffData>
            <w:name w:val=""/>
            <w:enabled/>
            <w:calcOnExit w:val="0"/>
            <w:checkBox>
              <w:sizeAuto/>
            </w:checkBox>
          </w:ffData>
        </w:fldChar>
      </w:r>
      <w:r>
        <w:rPr/>
        <w:instrText> FORMCHECKBOX </w:instrText>
      </w:r>
      <w:r>
        <w:rPr/>
        <w:fldChar w:fldCharType="separate"/>
      </w:r>
      <w:bookmarkStart w:id="1" w:name="__Fieldmark__30515_683412366"/>
      <w:bookmarkStart w:id="2" w:name="__Fieldmark__30515_683412366"/>
      <w:bookmarkStart w:id="3" w:name="__Fieldmark__30515_683412366"/>
      <w:bookmarkEnd w:id="3"/>
      <w:r>
        <w:rPr/>
      </w:r>
      <w:r>
        <w:rPr/>
        <w:fldChar w:fldCharType="end"/>
      </w:r>
      <w:r>
        <w:rPr>
          <w:rFonts w:eastAsia="Times New Roman" w:cs="Arial" w:ascii="Arial" w:hAnsi="Arial"/>
          <w:sz w:val="16"/>
          <w:szCs w:val="20"/>
          <w:lang w:eastAsia="ru-RU"/>
        </w:rPr>
        <w:t xml:space="preserve"> </w:t>
      </w:r>
      <w:r>
        <w:rPr>
          <w:rFonts w:eastAsia="Times New Roman" w:cs="Arial" w:ascii="Arial" w:hAnsi="Arial"/>
          <w:b/>
          <w:i/>
          <w:sz w:val="18"/>
          <w:szCs w:val="20"/>
          <w:lang w:eastAsia="ru-RU"/>
        </w:rPr>
        <w:t>Тариф «Основной»</w:t>
      </w:r>
    </w:p>
    <w:p>
      <w:pPr>
        <w:pStyle w:val="Normal"/>
        <w:spacing w:lineRule="auto" w:line="240" w:before="120" w:after="0"/>
        <w:ind w:left="-284" w:firstLine="284"/>
        <w:jc w:val="both"/>
        <w:rPr/>
      </w:pPr>
      <w:r>
        <w:fldChar w:fldCharType="begin">
          <w:ffData>
            <w:name w:val=""/>
            <w:enabled/>
            <w:calcOnExit w:val="0"/>
            <w:checkBox>
              <w:sizeAuto/>
            </w:checkBox>
          </w:ffData>
        </w:fldChar>
      </w:r>
      <w:r>
        <w:rPr/>
        <w:instrText> FORMCHECKBOX </w:instrText>
      </w:r>
      <w:r>
        <w:rPr/>
        <w:fldChar w:fldCharType="separate"/>
      </w:r>
      <w:bookmarkStart w:id="4" w:name="__Fieldmark__30520_683412366"/>
      <w:bookmarkStart w:id="5" w:name="__Fieldmark__30520_683412366"/>
      <w:bookmarkStart w:id="6" w:name="__Fieldmark__30520_683412366"/>
      <w:bookmarkEnd w:id="6"/>
      <w:r>
        <w:rPr/>
      </w:r>
      <w:r>
        <w:rPr/>
        <w:fldChar w:fldCharType="end"/>
      </w:r>
      <w:r>
        <w:rPr>
          <w:rFonts w:eastAsia="Times New Roman" w:cs="Arial" w:ascii="Arial" w:hAnsi="Arial"/>
          <w:sz w:val="16"/>
          <w:szCs w:val="20"/>
          <w:lang w:eastAsia="ru-RU"/>
        </w:rPr>
        <w:t xml:space="preserve"> </w:t>
      </w:r>
      <w:r>
        <w:rPr>
          <w:rFonts w:eastAsia="Times New Roman" w:cs="Arial" w:ascii="Arial" w:hAnsi="Arial"/>
          <w:b/>
          <w:i/>
          <w:sz w:val="18"/>
          <w:szCs w:val="20"/>
          <w:lang w:eastAsia="ru-RU"/>
        </w:rPr>
        <w:t>_______________________.»</w:t>
      </w:r>
    </w:p>
    <w:p>
      <w:pPr>
        <w:pStyle w:val="ListParagraph"/>
        <w:numPr>
          <w:ilvl w:val="0"/>
          <w:numId w:val="2"/>
        </w:numPr>
        <w:spacing w:lineRule="auto" w:line="240" w:before="120" w:after="0"/>
        <w:contextualSpacing/>
        <w:jc w:val="both"/>
        <w:rPr>
          <w:rFonts w:ascii="Arial" w:hAnsi="Arial" w:eastAsia="Times New Roman" w:cs="Arial"/>
          <w:b/>
          <w:b/>
          <w:i/>
          <w:i/>
          <w:sz w:val="18"/>
          <w:szCs w:val="20"/>
          <w:lang w:eastAsia="ru-RU"/>
        </w:rPr>
      </w:pPr>
      <w:r>
        <w:rPr>
          <w:sz w:val="24"/>
          <w:szCs w:val="24"/>
        </w:rPr>
        <w:t>дополнено таблицей:</w:t>
      </w:r>
      <w:r>
        <w:rPr>
          <w:rFonts w:eastAsia="Times New Roman" w:cs="Arial" w:ascii="Arial" w:hAnsi="Arial"/>
          <w:b/>
          <w:i/>
          <w:sz w:val="18"/>
          <w:szCs w:val="20"/>
          <w:lang w:eastAsia="ru-RU"/>
        </w:rPr>
        <w:t xml:space="preserve"> «ДОПОЛНИТЕЛЬНЫЕ СВЕДЕНИЯ ДЛЯ ОТКРЫТИЯ И ВЕДЕНИЯ СЧЕТА ДЕПО ФИЗИЧЕСКОГО ЛИЦА»</w:t>
      </w:r>
    </w:p>
    <w:p>
      <w:pPr>
        <w:pStyle w:val="Style25"/>
        <w:spacing w:before="120" w:after="120"/>
        <w:ind w:left="-284" w:firstLine="284"/>
        <w:rPr>
          <w:sz w:val="24"/>
          <w:szCs w:val="24"/>
        </w:rPr>
      </w:pPr>
      <w:r>
        <w:rPr>
          <w:sz w:val="24"/>
          <w:szCs w:val="24"/>
        </w:rPr>
      </w:r>
    </w:p>
    <w:p>
      <w:pPr>
        <w:pStyle w:val="Style25"/>
        <w:numPr>
          <w:ilvl w:val="0"/>
          <w:numId w:val="1"/>
        </w:numPr>
        <w:spacing w:before="120" w:after="120"/>
        <w:ind w:left="284" w:hanging="284"/>
        <w:rPr>
          <w:sz w:val="24"/>
          <w:szCs w:val="24"/>
        </w:rPr>
      </w:pPr>
      <w:r>
        <w:rPr>
          <w:sz w:val="24"/>
          <w:szCs w:val="24"/>
        </w:rPr>
        <w:t xml:space="preserve">Приложение №2 «Заявление на депозитарное обслуживание (для Клиентов – Юридических лиц)» дополнено словами: </w:t>
      </w:r>
    </w:p>
    <w:p>
      <w:pPr>
        <w:pStyle w:val="Style25"/>
        <w:spacing w:before="120" w:after="120"/>
        <w:ind w:left="-284" w:firstLine="284"/>
        <w:rPr>
          <w:rFonts w:ascii="Arial" w:hAnsi="Arial" w:eastAsia="Times New Roman" w:cs="Arial"/>
          <w:b/>
          <w:b/>
          <w:i/>
          <w:i/>
          <w:sz w:val="18"/>
          <w:szCs w:val="20"/>
          <w:lang w:eastAsia="ru-RU"/>
        </w:rPr>
      </w:pPr>
      <w:r>
        <w:rPr>
          <w:sz w:val="24"/>
          <w:szCs w:val="24"/>
        </w:rPr>
        <w:t>«</w:t>
      </w:r>
      <w:r>
        <w:rPr>
          <w:rFonts w:eastAsia="Times New Roman" w:cs="Arial" w:ascii="Arial" w:hAnsi="Arial"/>
          <w:b/>
          <w:i/>
          <w:sz w:val="18"/>
          <w:szCs w:val="20"/>
          <w:lang w:eastAsia="ru-RU"/>
        </w:rPr>
        <w:t>- установить тарифный план</w:t>
      </w:r>
    </w:p>
    <w:p>
      <w:pPr>
        <w:pStyle w:val="Normal"/>
        <w:spacing w:lineRule="auto" w:line="240" w:before="120" w:after="0"/>
        <w:ind w:left="-284" w:firstLine="284"/>
        <w:jc w:val="both"/>
        <w:rPr/>
      </w:pPr>
      <w:r>
        <w:fldChar w:fldCharType="begin">
          <w:ffData>
            <w:name w:val=""/>
            <w:enabled/>
            <w:calcOnExit w:val="0"/>
            <w:checkBox>
              <w:sizeAuto/>
            </w:checkBox>
          </w:ffData>
        </w:fldChar>
      </w:r>
      <w:r>
        <w:rPr/>
        <w:instrText> FORMCHECKBOX </w:instrText>
      </w:r>
      <w:r>
        <w:rPr/>
        <w:fldChar w:fldCharType="separate"/>
      </w:r>
      <w:bookmarkStart w:id="7" w:name="__Fieldmark__30541_683412366"/>
      <w:bookmarkStart w:id="8" w:name="__Fieldmark__30541_683412366"/>
      <w:bookmarkStart w:id="9" w:name="__Fieldmark__30541_683412366"/>
      <w:bookmarkEnd w:id="9"/>
      <w:r>
        <w:rPr/>
      </w:r>
      <w:r>
        <w:rPr/>
        <w:fldChar w:fldCharType="end"/>
      </w:r>
      <w:r>
        <w:rPr>
          <w:rFonts w:eastAsia="Times New Roman" w:cs="Arial" w:ascii="Arial" w:hAnsi="Arial"/>
          <w:sz w:val="16"/>
          <w:szCs w:val="20"/>
          <w:lang w:eastAsia="ru-RU"/>
        </w:rPr>
        <w:t xml:space="preserve"> </w:t>
      </w:r>
      <w:r>
        <w:rPr>
          <w:rFonts w:eastAsia="Times New Roman" w:cs="Arial" w:ascii="Arial" w:hAnsi="Arial"/>
          <w:b/>
          <w:i/>
          <w:sz w:val="18"/>
          <w:szCs w:val="20"/>
          <w:lang w:eastAsia="ru-RU"/>
        </w:rPr>
        <w:t>Тариф «Основной»</w:t>
      </w:r>
    </w:p>
    <w:p>
      <w:pPr>
        <w:pStyle w:val="Normal"/>
        <w:spacing w:lineRule="auto" w:line="240" w:before="120" w:after="0"/>
        <w:ind w:left="-284" w:firstLine="284"/>
        <w:jc w:val="both"/>
        <w:rPr/>
      </w:pPr>
      <w:r>
        <w:fldChar w:fldCharType="begin">
          <w:ffData>
            <w:name w:val=""/>
            <w:enabled/>
            <w:calcOnExit w:val="0"/>
            <w:checkBox>
              <w:sizeAuto/>
            </w:checkBox>
          </w:ffData>
        </w:fldChar>
      </w:r>
      <w:r>
        <w:rPr/>
        <w:instrText> FORMCHECKBOX </w:instrText>
      </w:r>
      <w:r>
        <w:rPr/>
        <w:fldChar w:fldCharType="separate"/>
      </w:r>
      <w:bookmarkStart w:id="10" w:name="__Fieldmark__30546_683412366"/>
      <w:bookmarkStart w:id="11" w:name="__Fieldmark__30546_683412366"/>
      <w:bookmarkStart w:id="12" w:name="__Fieldmark__30546_683412366"/>
      <w:bookmarkEnd w:id="12"/>
      <w:r>
        <w:rPr/>
      </w:r>
      <w:r>
        <w:rPr/>
        <w:fldChar w:fldCharType="end"/>
      </w:r>
      <w:r>
        <w:rPr>
          <w:rFonts w:eastAsia="Times New Roman" w:cs="Arial" w:ascii="Arial" w:hAnsi="Arial"/>
          <w:sz w:val="16"/>
          <w:szCs w:val="20"/>
          <w:lang w:eastAsia="ru-RU"/>
        </w:rPr>
        <w:t xml:space="preserve"> </w:t>
      </w:r>
      <w:r>
        <w:rPr>
          <w:rFonts w:eastAsia="Times New Roman" w:cs="Arial" w:ascii="Arial" w:hAnsi="Arial"/>
          <w:b/>
          <w:i/>
          <w:sz w:val="18"/>
          <w:szCs w:val="20"/>
          <w:lang w:eastAsia="ru-RU"/>
        </w:rPr>
        <w:t>_______________________.»</w:t>
      </w:r>
    </w:p>
    <w:p>
      <w:pPr>
        <w:pStyle w:val="Normal"/>
        <w:spacing w:lineRule="auto" w:line="240" w:before="120" w:after="0"/>
        <w:ind w:left="-284" w:firstLine="284"/>
        <w:jc w:val="both"/>
        <w:rPr>
          <w:rFonts w:ascii="Arial" w:hAnsi="Arial" w:eastAsia="Times New Roman" w:cs="Arial"/>
          <w:b/>
          <w:b/>
          <w:i/>
          <w:i/>
          <w:sz w:val="18"/>
          <w:szCs w:val="20"/>
          <w:lang w:eastAsia="ru-RU"/>
        </w:rPr>
      </w:pPr>
      <w:r>
        <w:rPr>
          <w:rFonts w:eastAsia="Times New Roman" w:cs="Arial" w:ascii="Arial" w:hAnsi="Arial"/>
          <w:b/>
          <w:i/>
          <w:sz w:val="18"/>
          <w:szCs w:val="20"/>
          <w:lang w:eastAsia="ru-RU"/>
        </w:rPr>
      </w:r>
    </w:p>
    <w:p>
      <w:pPr>
        <w:pStyle w:val="ListParagraph"/>
        <w:numPr>
          <w:ilvl w:val="0"/>
          <w:numId w:val="1"/>
        </w:numPr>
        <w:tabs>
          <w:tab w:val="clear" w:pos="652"/>
          <w:tab w:val="left" w:pos="426" w:leader="none"/>
        </w:tabs>
        <w:spacing w:lineRule="auto" w:line="240" w:before="120" w:after="0"/>
        <w:ind w:left="0" w:hanging="0"/>
        <w:contextualSpacing/>
        <w:jc w:val="both"/>
        <w:rPr>
          <w:sz w:val="24"/>
          <w:szCs w:val="24"/>
        </w:rPr>
      </w:pPr>
      <w:r>
        <w:rPr>
          <w:sz w:val="24"/>
          <w:szCs w:val="24"/>
        </w:rPr>
        <w:t>Приложение №8 «Поручение на назначение/снятие Оператора счета Депо» дополнено разделом: «Прошу отозвать в Депозитарии полномочия Оператора».</w:t>
      </w:r>
    </w:p>
    <w:p>
      <w:pPr>
        <w:pStyle w:val="ListParagraph"/>
        <w:tabs>
          <w:tab w:val="clear" w:pos="652"/>
          <w:tab w:val="left" w:pos="426" w:leader="none"/>
        </w:tabs>
        <w:spacing w:lineRule="auto" w:line="240" w:before="120" w:after="0"/>
        <w:ind w:left="0" w:hanging="0"/>
        <w:contextualSpacing/>
        <w:jc w:val="both"/>
        <w:rPr>
          <w:sz w:val="24"/>
          <w:szCs w:val="24"/>
        </w:rPr>
      </w:pPr>
      <w:r>
        <w:rPr>
          <w:sz w:val="24"/>
          <w:szCs w:val="24"/>
        </w:rPr>
      </w:r>
    </w:p>
    <w:p>
      <w:pPr>
        <w:pStyle w:val="ListParagraph"/>
        <w:numPr>
          <w:ilvl w:val="0"/>
          <w:numId w:val="1"/>
        </w:numPr>
        <w:tabs>
          <w:tab w:val="clear" w:pos="652"/>
          <w:tab w:val="left" w:pos="426" w:leader="none"/>
        </w:tabs>
        <w:spacing w:lineRule="auto" w:line="240" w:before="120" w:after="0"/>
        <w:ind w:left="0" w:hanging="0"/>
        <w:contextualSpacing/>
        <w:jc w:val="both"/>
        <w:rPr>
          <w:sz w:val="24"/>
          <w:szCs w:val="24"/>
        </w:rPr>
      </w:pPr>
      <w:r>
        <w:rPr>
          <w:sz w:val="24"/>
          <w:szCs w:val="24"/>
        </w:rPr>
        <w:t>Приложение №9 «Поручение на назначение/снятие Попечителя счета депо» дополнено разделом: «Прошу отозвать в Депозитарии полномочия Оператора».</w:t>
      </w:r>
    </w:p>
    <w:p>
      <w:pPr>
        <w:pStyle w:val="ListParagraph"/>
        <w:tabs>
          <w:tab w:val="clear" w:pos="652"/>
          <w:tab w:val="left" w:pos="0" w:leader="none"/>
          <w:tab w:val="left" w:pos="284" w:leader="none"/>
        </w:tabs>
        <w:ind w:left="0" w:hanging="0"/>
        <w:rPr>
          <w:sz w:val="24"/>
          <w:szCs w:val="24"/>
        </w:rPr>
      </w:pPr>
      <w:r>
        <w:rPr>
          <w:sz w:val="24"/>
          <w:szCs w:val="24"/>
        </w:rPr>
      </w:r>
    </w:p>
    <w:p>
      <w:pPr>
        <w:pStyle w:val="ListParagraph"/>
        <w:numPr>
          <w:ilvl w:val="0"/>
          <w:numId w:val="1"/>
        </w:numPr>
        <w:ind w:left="0" w:hanging="0"/>
        <w:rPr>
          <w:sz w:val="24"/>
          <w:szCs w:val="24"/>
        </w:rPr>
      </w:pPr>
      <w:r>
        <w:rPr>
          <w:sz w:val="24"/>
          <w:szCs w:val="24"/>
        </w:rPr>
        <w:t xml:space="preserve">изменена форма Приложения №13  «АНКЕТА КЛИЕНТА для физических лиц» на форму Приложения №16 «АНКЕТА (ДОСЬЕ) КЛИЕНТА ФИЗИЧЕСКОГО ЛИЦА». </w:t>
      </w:r>
    </w:p>
    <w:p>
      <w:pPr>
        <w:pStyle w:val="ListParagraph"/>
        <w:rPr>
          <w:sz w:val="24"/>
          <w:szCs w:val="24"/>
        </w:rPr>
      </w:pPr>
      <w:r>
        <w:rPr>
          <w:sz w:val="24"/>
          <w:szCs w:val="24"/>
        </w:rPr>
      </w:r>
    </w:p>
    <w:p>
      <w:pPr>
        <w:pStyle w:val="ListParagraph"/>
        <w:numPr>
          <w:ilvl w:val="0"/>
          <w:numId w:val="1"/>
        </w:numPr>
        <w:ind w:left="652" w:hanging="652"/>
        <w:rPr>
          <w:sz w:val="24"/>
          <w:szCs w:val="24"/>
        </w:rPr>
      </w:pPr>
      <w:r>
        <w:rPr>
          <w:sz w:val="24"/>
          <w:szCs w:val="24"/>
        </w:rPr>
        <w:t>внесены изменения в форму «АНКЕТА КЛИЕНТА для юридических лиц».</w:t>
      </w:r>
    </w:p>
    <w:p>
      <w:pPr>
        <w:pStyle w:val="ListParagraph"/>
        <w:rPr>
          <w:sz w:val="24"/>
          <w:szCs w:val="24"/>
        </w:rPr>
      </w:pPr>
      <w:r>
        <w:rPr>
          <w:sz w:val="24"/>
          <w:szCs w:val="24"/>
        </w:rPr>
      </w:r>
    </w:p>
    <w:p>
      <w:pPr>
        <w:pStyle w:val="ListParagraph"/>
        <w:numPr>
          <w:ilvl w:val="0"/>
          <w:numId w:val="1"/>
        </w:numPr>
        <w:ind w:left="652" w:hanging="652"/>
        <w:rPr>
          <w:sz w:val="24"/>
          <w:szCs w:val="24"/>
        </w:rPr>
      </w:pPr>
      <w:r>
        <w:rPr>
          <w:sz w:val="24"/>
          <w:szCs w:val="24"/>
        </w:rPr>
        <w:t>внесены изменения в форму «АНКЕТА ПРЕДСТАВИТЕЛЯ КЛИЕНТА».</w:t>
      </w:r>
    </w:p>
    <w:p>
      <w:pPr>
        <w:pStyle w:val="ListParagraph"/>
        <w:rPr>
          <w:sz w:val="24"/>
          <w:szCs w:val="24"/>
        </w:rPr>
      </w:pPr>
      <w:r>
        <w:rPr>
          <w:sz w:val="24"/>
          <w:szCs w:val="24"/>
        </w:rPr>
      </w:r>
    </w:p>
    <w:p>
      <w:pPr>
        <w:pStyle w:val="ListParagraph"/>
        <w:numPr>
          <w:ilvl w:val="0"/>
          <w:numId w:val="1"/>
        </w:numPr>
        <w:ind w:left="652" w:hanging="652"/>
        <w:rPr>
          <w:sz w:val="24"/>
          <w:szCs w:val="24"/>
        </w:rPr>
      </w:pPr>
      <w:r>
        <w:rPr>
          <w:sz w:val="24"/>
          <w:szCs w:val="24"/>
        </w:rPr>
        <w:t>удалено: Приложение №16 «Сведения для CRS/FATCA (Физические лица)».</w:t>
      </w:r>
    </w:p>
    <w:p>
      <w:pPr>
        <w:pStyle w:val="ListParagraph"/>
        <w:ind w:left="-66" w:hanging="0"/>
        <w:rPr>
          <w:sz w:val="24"/>
          <w:szCs w:val="24"/>
        </w:rPr>
      </w:pPr>
      <w:r>
        <w:rPr>
          <w:sz w:val="24"/>
          <w:szCs w:val="24"/>
        </w:rPr>
      </w:r>
    </w:p>
    <w:p>
      <w:pPr>
        <w:pStyle w:val="ListParagraph"/>
        <w:numPr>
          <w:ilvl w:val="0"/>
          <w:numId w:val="1"/>
        </w:numPr>
        <w:ind w:left="284" w:hanging="284"/>
        <w:rPr>
          <w:i/>
          <w:i/>
          <w:iCs/>
          <w:sz w:val="24"/>
          <w:szCs w:val="24"/>
        </w:rPr>
      </w:pPr>
      <w:r>
        <w:rPr>
          <w:sz w:val="24"/>
          <w:szCs w:val="24"/>
        </w:rPr>
        <w:t>дополнено: Приложение №25 "Согласие на обработку персональных данных клиентов».</w:t>
      </w:r>
      <w:r>
        <w:rPr>
          <w:i/>
          <w:iCs/>
          <w:sz w:val="24"/>
          <w:szCs w:val="24"/>
        </w:rPr>
        <w:t xml:space="preserve"> </w:t>
      </w:r>
    </w:p>
    <w:p>
      <w:pPr>
        <w:pStyle w:val="ListParagraph"/>
        <w:rPr>
          <w:i/>
          <w:i/>
          <w:iCs/>
          <w:sz w:val="24"/>
          <w:szCs w:val="24"/>
        </w:rPr>
      </w:pPr>
      <w:r>
        <w:rPr>
          <w:i/>
          <w:iCs/>
          <w:sz w:val="24"/>
          <w:szCs w:val="24"/>
        </w:rPr>
      </w:r>
    </w:p>
    <w:p>
      <w:pPr>
        <w:pStyle w:val="ListParagraph"/>
        <w:numPr>
          <w:ilvl w:val="0"/>
          <w:numId w:val="1"/>
        </w:numPr>
        <w:spacing w:before="0" w:after="160"/>
        <w:ind w:left="-66" w:firstLine="66"/>
        <w:contextualSpacing/>
        <w:rPr/>
      </w:pPr>
      <w:r>
        <w:rPr>
          <w:sz w:val="24"/>
          <w:szCs w:val="24"/>
        </w:rPr>
        <w:t>внесены незначительные исправления по тексту Условий.</w:t>
      </w:r>
    </w:p>
    <w:sectPr>
      <w:type w:val="nextPage"/>
      <w:pgSz w:orient="landscape" w:w="16838" w:h="11906"/>
      <w:pgMar w:left="1134" w:right="536" w:header="0" w:top="426" w:footer="0" w:bottom="28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652" w:hanging="292"/>
      </w:pPr>
      <w:rPr>
        <w:sz w:val="2"/>
        <w:szCs w:val="24"/>
        <w:rFonts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1004" w:hanging="360"/>
      </w:pPr>
      <w:rPr>
        <w:rFonts w:ascii="Symbol" w:hAnsi="Symbol" w:cs="Symbol" w:hint="default"/>
        <w:sz w:val="18"/>
        <w:b/>
        <w:szCs w:val="24"/>
      </w:rPr>
    </w:lvl>
    <w:lvl w:ilvl="1">
      <w:start w:val="1"/>
      <w:numFmt w:val="bullet"/>
      <w:lvlText w:val="o"/>
      <w:lvlJc w:val="left"/>
      <w:pPr>
        <w:ind w:left="1724" w:hanging="360"/>
      </w:pPr>
      <w:rPr>
        <w:rFonts w:ascii="Courier New" w:hAnsi="Courier New" w:cs="Courier New" w:hint="default"/>
        <w:rFonts w:cs="Courier New"/>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Fonts w:cs="Courier New"/>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Fonts w:cs="Courier New"/>
      </w:rPr>
    </w:lvl>
    <w:lvl w:ilvl="8">
      <w:start w:val="1"/>
      <w:numFmt w:val="bullet"/>
      <w:lvlText w:val=""/>
      <w:lvlJc w:val="left"/>
      <w:pPr>
        <w:ind w:left="6764"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652"/>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d1648"/>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0"/>
    <w:uiPriority w:val="9"/>
    <w:qFormat/>
    <w:rsid w:val="00c02cb1"/>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unhideWhenUsed/>
    <w:qFormat/>
    <w:rPr/>
  </w:style>
  <w:style w:type="character" w:styleId="Style13" w:customStyle="1">
    <w:name w:val="Верхний колонтитул Знак"/>
    <w:basedOn w:val="DefaultParagraphFont"/>
    <w:link w:val="a4"/>
    <w:uiPriority w:val="99"/>
    <w:qFormat/>
    <w:rsid w:val="00187d13"/>
    <w:rPr/>
  </w:style>
  <w:style w:type="character" w:styleId="Style14" w:customStyle="1">
    <w:name w:val="Нижний колонтитул Знак"/>
    <w:basedOn w:val="DefaultParagraphFont"/>
    <w:link w:val="a6"/>
    <w:uiPriority w:val="99"/>
    <w:qFormat/>
    <w:rsid w:val="00187d13"/>
    <w:rPr/>
  </w:style>
  <w:style w:type="character" w:styleId="Style15" w:customStyle="1">
    <w:name w:val="Основной текст Знак"/>
    <w:basedOn w:val="DefaultParagraphFont"/>
    <w:link w:val="a9"/>
    <w:uiPriority w:val="99"/>
    <w:qFormat/>
    <w:rsid w:val="00592703"/>
    <w:rPr/>
  </w:style>
  <w:style w:type="character" w:styleId="11" w:customStyle="1">
    <w:name w:val="Заголовок 1 Знак"/>
    <w:basedOn w:val="DefaultParagraphFont"/>
    <w:link w:val="1"/>
    <w:uiPriority w:val="9"/>
    <w:qFormat/>
    <w:rsid w:val="00c02cb1"/>
    <w:rPr>
      <w:rFonts w:ascii="Calibri Light" w:hAnsi="Calibri Light" w:eastAsia="" w:cs="" w:asciiTheme="majorHAnsi" w:cstheme="majorBidi" w:eastAsiaTheme="majorEastAsia" w:hAnsiTheme="majorHAnsi"/>
      <w:color w:val="2E74B5" w:themeColor="accent1" w:themeShade="bf"/>
      <w:sz w:val="32"/>
      <w:szCs w:val="32"/>
    </w:rPr>
  </w:style>
  <w:style w:type="character" w:styleId="Style16" w:customStyle="1">
    <w:name w:val="Основной текст с отступом Знак"/>
    <w:basedOn w:val="DefaultParagraphFont"/>
    <w:link w:val="ab"/>
    <w:uiPriority w:val="99"/>
    <w:qFormat/>
    <w:rsid w:val="001c7e0a"/>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link w:val="aa"/>
    <w:uiPriority w:val="99"/>
    <w:unhideWhenUsed/>
    <w:rsid w:val="00592703"/>
    <w:pPr>
      <w:spacing w:before="0" w:after="12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yle22">
    <w:name w:val="Верхний и нижний колонтитулы"/>
    <w:basedOn w:val="Normal"/>
    <w:qFormat/>
    <w:pPr/>
    <w:rPr/>
  </w:style>
  <w:style w:type="paragraph" w:styleId="Style23">
    <w:name w:val="Header"/>
    <w:basedOn w:val="Normal"/>
    <w:link w:val="a5"/>
    <w:uiPriority w:val="99"/>
    <w:unhideWhenUsed/>
    <w:rsid w:val="00187d13"/>
    <w:pPr>
      <w:tabs>
        <w:tab w:val="clear" w:pos="652"/>
        <w:tab w:val="center" w:pos="4677" w:leader="none"/>
        <w:tab w:val="right" w:pos="9355" w:leader="none"/>
      </w:tabs>
      <w:spacing w:lineRule="auto" w:line="240" w:before="0" w:after="0"/>
    </w:pPr>
    <w:rPr/>
  </w:style>
  <w:style w:type="paragraph" w:styleId="Style24">
    <w:name w:val="Footer"/>
    <w:basedOn w:val="Normal"/>
    <w:link w:val="a7"/>
    <w:uiPriority w:val="99"/>
    <w:unhideWhenUsed/>
    <w:rsid w:val="00187d13"/>
    <w:pPr>
      <w:tabs>
        <w:tab w:val="clear" w:pos="652"/>
        <w:tab w:val="center" w:pos="4677" w:leader="none"/>
        <w:tab w:val="right" w:pos="9355" w:leader="none"/>
      </w:tabs>
      <w:spacing w:lineRule="auto" w:line="240" w:before="0" w:after="0"/>
    </w:pPr>
    <w:rPr/>
  </w:style>
  <w:style w:type="paragraph" w:styleId="ListParagraph">
    <w:name w:val="List Paragraph"/>
    <w:basedOn w:val="Normal"/>
    <w:uiPriority w:val="34"/>
    <w:qFormat/>
    <w:rsid w:val="00c871e3"/>
    <w:pPr>
      <w:spacing w:before="0" w:after="160"/>
      <w:ind w:left="720" w:hanging="0"/>
      <w:contextualSpacing/>
    </w:pPr>
    <w:rPr/>
  </w:style>
  <w:style w:type="paragraph" w:styleId="Style25">
    <w:name w:val="Body Text Indent"/>
    <w:basedOn w:val="Normal"/>
    <w:link w:val="ac"/>
    <w:uiPriority w:val="99"/>
    <w:unhideWhenUsed/>
    <w:rsid w:val="001c7e0a"/>
    <w:pPr>
      <w:spacing w:before="0" w:after="120"/>
      <w:ind w:left="283" w:hanging="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39"/>
    <w:rsid w:val="00951cb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391a52"/>
    <w:pPr>
      <w:spacing w:after="0" w:line="240" w:lineRule="auto"/>
    </w:pPr>
    <w:rPr>
      <w:lang w:eastAsia="ru-RU"/>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Application>LibreOffice/6.3.1.2$Windows_x86 LibreOffice_project/b79626edf0065ac373bd1df5c28bd630b4424273</Application>
  <Pages>2</Pages>
  <Words>555</Words>
  <Characters>3778</Characters>
  <CharactersWithSpaces>4297</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2025-07-10T14:31:00Z</dcterms:created>
  <dc:creator>Смурыгин Андрей Юрьевич</dc:creator>
  <dc:description/>
  <dc:language>ru-RU</dc:language>
  <cp:lastModifiedBy>Снисаренко Эвелина Владимировна</cp:lastModifiedBy>
  <dcterms:modified xsi:type="dcterms:W3CDTF">2025-09-12T09:50:00Z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