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8CC" w:rsidRDefault="00D218CC">
      <w:pPr>
        <w:rPr>
          <w:rFonts w:ascii="Times New Roman" w:hAnsi="Times New Roman" w:cs="Times New Roman"/>
          <w:b/>
        </w:rPr>
      </w:pPr>
      <w:r w:rsidRPr="00D218CC">
        <w:rPr>
          <w:rFonts w:ascii="Times New Roman" w:hAnsi="Times New Roman" w:cs="Times New Roman"/>
          <w:b/>
        </w:rPr>
        <w:t>Страхование имущества, являющегося предметом залога</w:t>
      </w:r>
    </w:p>
    <w:p w:rsidR="00445FA2" w:rsidRPr="003E5E7E" w:rsidRDefault="003E5E7E">
      <w:pPr>
        <w:rPr>
          <w:rFonts w:ascii="Times New Roman" w:hAnsi="Times New Roman" w:cs="Times New Roman"/>
          <w:b/>
          <w:lang w:val="en-US"/>
        </w:rPr>
      </w:pPr>
      <w:r w:rsidRPr="003E5E7E">
        <w:rPr>
          <w:rFonts w:ascii="Times New Roman" w:hAnsi="Times New Roman" w:cs="Times New Roman"/>
          <w:b/>
        </w:rPr>
        <w:t>Новая редакция</w:t>
      </w:r>
      <w:r w:rsidR="00445FA2" w:rsidRPr="003E5E7E">
        <w:rPr>
          <w:rFonts w:ascii="Times New Roman" w:hAnsi="Times New Roman" w:cs="Times New Roman"/>
          <w:b/>
          <w:lang w:val="en-US"/>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8618"/>
      </w:tblGrid>
      <w:tr w:rsidR="00445FA2" w:rsidRPr="00F71DBF" w:rsidTr="004E3364">
        <w:tc>
          <w:tcPr>
            <w:tcW w:w="9356" w:type="dxa"/>
            <w:gridSpan w:val="2"/>
            <w:shd w:val="clear" w:color="auto" w:fill="auto"/>
          </w:tcPr>
          <w:p w:rsidR="00445FA2" w:rsidRPr="00F71DBF" w:rsidRDefault="00445FA2" w:rsidP="00AC075D">
            <w:pPr>
              <w:numPr>
                <w:ilvl w:val="0"/>
                <w:numId w:val="4"/>
              </w:numPr>
              <w:suppressAutoHyphens/>
              <w:overflowPunct w:val="0"/>
              <w:autoSpaceDE w:val="0"/>
              <w:spacing w:after="0" w:line="240" w:lineRule="auto"/>
              <w:contextualSpacing/>
              <w:textAlignment w:val="baseline"/>
              <w:rPr>
                <w:rFonts w:ascii="Times New Roman" w:eastAsia="Times New Roman" w:hAnsi="Times New Roman" w:cs="Times New Roman"/>
                <w:b/>
                <w:snapToGrid w:val="0"/>
                <w:color w:val="000000"/>
                <w:sz w:val="16"/>
                <w:szCs w:val="16"/>
                <w:lang w:eastAsia="ru-RU"/>
              </w:rPr>
            </w:pPr>
            <w:r w:rsidRPr="00F71DBF">
              <w:rPr>
                <w:rFonts w:ascii="Times New Roman" w:eastAsia="Times New Roman" w:hAnsi="Times New Roman" w:cs="Times New Roman"/>
                <w:b/>
                <w:color w:val="000000"/>
                <w:sz w:val="18"/>
                <w:szCs w:val="18"/>
                <w:lang w:eastAsia="ru-RU"/>
              </w:rPr>
              <w:t>Минимальный размер страховой суммы:</w:t>
            </w:r>
          </w:p>
        </w:tc>
      </w:tr>
      <w:tr w:rsidR="00445FA2" w:rsidRPr="00F71DBF" w:rsidTr="004E3364">
        <w:tc>
          <w:tcPr>
            <w:tcW w:w="9356" w:type="dxa"/>
            <w:gridSpan w:val="2"/>
            <w:shd w:val="clear" w:color="auto" w:fill="auto"/>
          </w:tcPr>
          <w:p w:rsidR="00445FA2" w:rsidRPr="00613F3C" w:rsidRDefault="00AC075D" w:rsidP="00AC075D">
            <w:pPr>
              <w:suppressAutoHyphens/>
              <w:overflowPunct w:val="0"/>
              <w:autoSpaceDE w:val="0"/>
              <w:spacing w:after="0" w:line="240" w:lineRule="auto"/>
              <w:contextualSpacing/>
              <w:textAlignment w:val="baseline"/>
              <w:rPr>
                <w:rFonts w:ascii="Times New Roman" w:eastAsia="Times New Roman" w:hAnsi="Times New Roman" w:cs="Times New Roman"/>
                <w:color w:val="000000"/>
                <w:sz w:val="16"/>
                <w:szCs w:val="16"/>
                <w:lang w:eastAsia="ru-RU"/>
              </w:rPr>
            </w:pPr>
            <w:r w:rsidRPr="00613F3C">
              <w:rPr>
                <w:rFonts w:ascii="Times New Roman" w:eastAsia="Times New Roman" w:hAnsi="Times New Roman" w:cs="Times New Roman"/>
                <w:color w:val="000000"/>
                <w:sz w:val="16"/>
                <w:szCs w:val="16"/>
                <w:lang w:eastAsia="ru-RU"/>
              </w:rPr>
              <w:t xml:space="preserve">1.1 </w:t>
            </w:r>
            <w:r w:rsidR="00BC337C" w:rsidRPr="00613F3C">
              <w:rPr>
                <w:rFonts w:ascii="Times New Roman" w:eastAsia="Times New Roman" w:hAnsi="Times New Roman" w:cs="Times New Roman"/>
                <w:color w:val="000000"/>
                <w:sz w:val="16"/>
                <w:szCs w:val="16"/>
                <w:lang w:eastAsia="ru-RU"/>
              </w:rPr>
              <w:t>Для лизинговых компаний минимальный размер страховой суммы должен быть не менее рыночной стоимости приобретаемого имущества в первый год страхования, а во второй и последующие годы с учетом износа, по действующим нормам страховых компаний, при этом в течении второго года и до момента завершения срока действия кредитного договора страховая сумма не может быть меньше оставшейся суммы основного долга и процентов на текущий год страхования  в соответствии с графиком погашения (возврата) кредита на дату предоставления страхового полиса</w:t>
            </w:r>
            <w:r w:rsidR="00445FA2" w:rsidRPr="00613F3C">
              <w:rPr>
                <w:rFonts w:ascii="Times New Roman" w:eastAsia="Times New Roman" w:hAnsi="Times New Roman" w:cs="Times New Roman"/>
                <w:color w:val="000000"/>
                <w:sz w:val="16"/>
                <w:szCs w:val="16"/>
                <w:lang w:eastAsia="ru-RU"/>
              </w:rPr>
              <w:t>;</w:t>
            </w:r>
          </w:p>
          <w:p w:rsidR="00445FA2" w:rsidRPr="00F71DBF" w:rsidRDefault="00AC075D" w:rsidP="00AC075D">
            <w:pPr>
              <w:suppressAutoHyphens/>
              <w:overflowPunct w:val="0"/>
              <w:autoSpaceDE w:val="0"/>
              <w:spacing w:after="0" w:line="240" w:lineRule="auto"/>
              <w:contextualSpacing/>
              <w:textAlignment w:val="baseline"/>
              <w:rPr>
                <w:rFonts w:ascii="Times New Roman" w:eastAsia="Times New Roman" w:hAnsi="Times New Roman" w:cs="Times New Roman"/>
                <w:snapToGrid w:val="0"/>
                <w:color w:val="000000"/>
                <w:sz w:val="16"/>
                <w:szCs w:val="16"/>
                <w:lang w:eastAsia="ru-RU"/>
              </w:rPr>
            </w:pPr>
            <w:r>
              <w:rPr>
                <w:rFonts w:ascii="Times New Roman" w:eastAsia="Times New Roman" w:hAnsi="Times New Roman" w:cs="Times New Roman"/>
                <w:color w:val="000000"/>
                <w:sz w:val="16"/>
                <w:szCs w:val="16"/>
                <w:lang w:eastAsia="ru-RU"/>
              </w:rPr>
              <w:t>1.2.</w:t>
            </w:r>
            <w:r w:rsidR="00445FA2" w:rsidRPr="00F71DBF">
              <w:rPr>
                <w:rFonts w:ascii="Times New Roman" w:eastAsia="Times New Roman" w:hAnsi="Times New Roman" w:cs="Times New Roman"/>
                <w:color w:val="000000"/>
                <w:sz w:val="16"/>
                <w:szCs w:val="16"/>
                <w:lang w:eastAsia="ru-RU"/>
              </w:rPr>
              <w:t>Для всех остальных заемщиком (кроме лизинговых компаний) минимальный размер страховой суммы должен быть не менее залоговой стоимости предоставленного обеспечения.</w:t>
            </w:r>
          </w:p>
        </w:tc>
      </w:tr>
      <w:tr w:rsidR="00445FA2" w:rsidRPr="00F71DBF" w:rsidTr="004E3364">
        <w:tc>
          <w:tcPr>
            <w:tcW w:w="9356" w:type="dxa"/>
            <w:gridSpan w:val="2"/>
            <w:shd w:val="clear" w:color="auto" w:fill="auto"/>
          </w:tcPr>
          <w:p w:rsidR="00445FA2" w:rsidRPr="00F71DBF" w:rsidRDefault="00445FA2" w:rsidP="00AC075D">
            <w:pPr>
              <w:numPr>
                <w:ilvl w:val="0"/>
                <w:numId w:val="5"/>
              </w:numPr>
              <w:suppressAutoHyphens/>
              <w:overflowPunct w:val="0"/>
              <w:autoSpaceDE w:val="0"/>
              <w:spacing w:after="0" w:line="240" w:lineRule="auto"/>
              <w:contextualSpacing/>
              <w:textAlignment w:val="baseline"/>
              <w:rPr>
                <w:rFonts w:ascii="Times New Roman" w:eastAsia="Times New Roman" w:hAnsi="Times New Roman" w:cs="Times New Roman"/>
                <w:b/>
                <w:snapToGrid w:val="0"/>
                <w:color w:val="000000"/>
                <w:sz w:val="16"/>
                <w:szCs w:val="16"/>
                <w:lang w:eastAsia="ru-RU"/>
              </w:rPr>
            </w:pPr>
            <w:r w:rsidRPr="00F71DBF">
              <w:rPr>
                <w:rFonts w:ascii="Times New Roman" w:eastAsia="Times New Roman" w:hAnsi="Times New Roman" w:cs="Times New Roman"/>
                <w:b/>
                <w:snapToGrid w:val="0"/>
                <w:color w:val="000000"/>
                <w:sz w:val="16"/>
                <w:szCs w:val="16"/>
                <w:lang w:eastAsia="ru-RU"/>
              </w:rPr>
              <w:t>Условия договора страхования</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snapToGrid w:val="0"/>
                <w:color w:val="000000"/>
                <w:sz w:val="16"/>
                <w:szCs w:val="16"/>
                <w:lang w:eastAsia="ru-RU"/>
              </w:rPr>
            </w:pPr>
            <w:r w:rsidRPr="00F71DBF">
              <w:rPr>
                <w:rFonts w:ascii="Times New Roman" w:eastAsia="Times New Roman" w:hAnsi="Times New Roman" w:cs="Times New Roman"/>
                <w:snapToGrid w:val="0"/>
                <w:color w:val="000000"/>
                <w:sz w:val="16"/>
                <w:szCs w:val="16"/>
                <w:lang w:eastAsia="ru-RU"/>
              </w:rPr>
              <w:t xml:space="preserve">2.1. </w:t>
            </w:r>
          </w:p>
        </w:tc>
        <w:tc>
          <w:tcPr>
            <w:tcW w:w="8618" w:type="dxa"/>
            <w:shd w:val="clear" w:color="auto" w:fill="auto"/>
          </w:tcPr>
          <w:p w:rsidR="00445FA2" w:rsidRPr="00F71DBF" w:rsidRDefault="00445FA2" w:rsidP="004E3364">
            <w:pPr>
              <w:spacing w:after="0" w:line="240" w:lineRule="auto"/>
              <w:jc w:val="both"/>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Страхователем по договору страхования может являться Залогодатель, Лизингополучатель, Лизингодатель.</w:t>
            </w:r>
          </w:p>
          <w:p w:rsidR="00445FA2" w:rsidRPr="00F71DBF" w:rsidRDefault="00445FA2" w:rsidP="004E3364">
            <w:pPr>
              <w:spacing w:after="0" w:line="240" w:lineRule="auto"/>
              <w:jc w:val="both"/>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Срок страхования:</w:t>
            </w:r>
          </w:p>
          <w:p w:rsidR="00445FA2" w:rsidRPr="00F71DBF" w:rsidRDefault="00445FA2" w:rsidP="004E3364">
            <w:pPr>
              <w:spacing w:after="0" w:line="240" w:lineRule="auto"/>
              <w:jc w:val="both"/>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не позднее 15-ти календарных дней для автомобильного транспорта и самоходных машин с момента подписания договора залога;</w:t>
            </w:r>
          </w:p>
          <w:p w:rsidR="00445FA2" w:rsidRPr="00F71DBF" w:rsidRDefault="00445FA2" w:rsidP="004E3364">
            <w:pPr>
              <w:spacing w:after="0" w:line="240" w:lineRule="auto"/>
              <w:jc w:val="both"/>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-не позднее 30 – </w:t>
            </w:r>
            <w:proofErr w:type="spellStart"/>
            <w:r w:rsidRPr="00F71DBF">
              <w:rPr>
                <w:rFonts w:ascii="Times New Roman" w:eastAsia="Times New Roman" w:hAnsi="Times New Roman" w:cs="Times New Roman"/>
                <w:color w:val="000000"/>
                <w:sz w:val="16"/>
                <w:szCs w:val="16"/>
                <w:lang w:eastAsia="ru-RU"/>
              </w:rPr>
              <w:t>ти</w:t>
            </w:r>
            <w:proofErr w:type="spellEnd"/>
            <w:r w:rsidRPr="00F71DBF">
              <w:rPr>
                <w:rFonts w:ascii="Times New Roman" w:eastAsia="Times New Roman" w:hAnsi="Times New Roman" w:cs="Times New Roman"/>
                <w:color w:val="000000"/>
                <w:sz w:val="16"/>
                <w:szCs w:val="16"/>
                <w:lang w:eastAsia="ru-RU"/>
              </w:rPr>
              <w:t xml:space="preserve"> календарных дней для прочего залогового имущества с момента подписания договора залога, договора ипотеки.</w:t>
            </w:r>
          </w:p>
        </w:tc>
      </w:tr>
      <w:tr w:rsidR="00445FA2" w:rsidRPr="00F71DBF" w:rsidTr="004E3364">
        <w:trPr>
          <w:trHeight w:val="250"/>
        </w:trPr>
        <w:tc>
          <w:tcPr>
            <w:tcW w:w="738" w:type="dxa"/>
            <w:shd w:val="clear" w:color="auto" w:fill="auto"/>
          </w:tcPr>
          <w:p w:rsidR="00445FA2" w:rsidRPr="00610C9B" w:rsidRDefault="00445FA2" w:rsidP="004E3364">
            <w:pPr>
              <w:spacing w:after="0" w:line="240" w:lineRule="auto"/>
              <w:rPr>
                <w:rFonts w:ascii="Times New Roman" w:eastAsia="Times New Roman" w:hAnsi="Times New Roman" w:cs="Times New Roman"/>
                <w:snapToGrid w:val="0"/>
                <w:color w:val="000000"/>
                <w:sz w:val="16"/>
                <w:szCs w:val="16"/>
                <w:lang w:eastAsia="ru-RU"/>
              </w:rPr>
            </w:pPr>
            <w:r w:rsidRPr="00610C9B">
              <w:rPr>
                <w:rFonts w:ascii="Times New Roman" w:eastAsia="Times New Roman" w:hAnsi="Times New Roman" w:cs="Times New Roman"/>
                <w:snapToGrid w:val="0"/>
                <w:color w:val="000000"/>
                <w:sz w:val="16"/>
                <w:szCs w:val="16"/>
                <w:lang w:eastAsia="ru-RU"/>
              </w:rPr>
              <w:t>2.2.</w:t>
            </w:r>
          </w:p>
        </w:tc>
        <w:tc>
          <w:tcPr>
            <w:tcW w:w="8618" w:type="dxa"/>
            <w:shd w:val="clear" w:color="auto" w:fill="auto"/>
          </w:tcPr>
          <w:p w:rsidR="00445FA2" w:rsidRPr="00610C9B" w:rsidRDefault="00445FA2" w:rsidP="004E3364">
            <w:pPr>
              <w:tabs>
                <w:tab w:val="left" w:pos="284"/>
                <w:tab w:val="left" w:pos="360"/>
              </w:tabs>
              <w:spacing w:after="0" w:line="240" w:lineRule="auto"/>
              <w:jc w:val="both"/>
              <w:rPr>
                <w:rFonts w:ascii="Times New Roman" w:eastAsia="Times New Roman" w:hAnsi="Times New Roman" w:cs="Times New Roman"/>
                <w:snapToGrid w:val="0"/>
                <w:color w:val="000000"/>
                <w:sz w:val="16"/>
                <w:szCs w:val="16"/>
                <w:lang w:eastAsia="ru-RU"/>
              </w:rPr>
            </w:pPr>
            <w:r w:rsidRPr="00610C9B">
              <w:rPr>
                <w:rFonts w:ascii="Times New Roman" w:eastAsia="Times New Roman" w:hAnsi="Times New Roman" w:cs="Times New Roman"/>
                <w:snapToGrid w:val="0"/>
                <w:color w:val="000000"/>
                <w:sz w:val="16"/>
                <w:szCs w:val="16"/>
                <w:lang w:eastAsia="ru-RU"/>
              </w:rPr>
              <w:t>Выгодоприобретателем по договору страхования имущества:</w:t>
            </w:r>
          </w:p>
          <w:p w:rsidR="00445FA2" w:rsidRPr="00610C9B" w:rsidRDefault="00445FA2" w:rsidP="004E3364">
            <w:pPr>
              <w:tabs>
                <w:tab w:val="left" w:pos="284"/>
                <w:tab w:val="left" w:pos="360"/>
              </w:tabs>
              <w:spacing w:after="0" w:line="240" w:lineRule="auto"/>
              <w:jc w:val="both"/>
              <w:rPr>
                <w:rFonts w:ascii="Times New Roman" w:eastAsia="Times New Roman" w:hAnsi="Times New Roman" w:cs="Times New Roman"/>
                <w:snapToGrid w:val="0"/>
                <w:color w:val="000000"/>
                <w:sz w:val="16"/>
                <w:szCs w:val="16"/>
                <w:lang w:eastAsia="ru-RU"/>
              </w:rPr>
            </w:pPr>
            <w:r w:rsidRPr="00610C9B">
              <w:rPr>
                <w:rFonts w:ascii="Times New Roman" w:eastAsia="Times New Roman" w:hAnsi="Times New Roman" w:cs="Times New Roman"/>
                <w:snapToGrid w:val="0"/>
                <w:color w:val="000000"/>
                <w:sz w:val="16"/>
                <w:szCs w:val="16"/>
                <w:lang w:eastAsia="ru-RU"/>
              </w:rPr>
              <w:t>-</w:t>
            </w:r>
            <w:r w:rsidR="00557B45" w:rsidRPr="00610C9B">
              <w:rPr>
                <w:rFonts w:ascii="Times New Roman" w:eastAsia="Times New Roman" w:hAnsi="Times New Roman" w:cs="Times New Roman"/>
                <w:snapToGrid w:val="0"/>
                <w:color w:val="000000"/>
                <w:sz w:val="16"/>
                <w:szCs w:val="16"/>
                <w:lang w:eastAsia="ru-RU"/>
              </w:rPr>
              <w:t xml:space="preserve">в случае хищения или утраты (полной, конструктивной гибели) имущества- </w:t>
            </w:r>
            <w:r w:rsidRPr="00610C9B">
              <w:rPr>
                <w:rFonts w:ascii="Times New Roman" w:eastAsia="Times New Roman" w:hAnsi="Times New Roman" w:cs="Times New Roman"/>
                <w:snapToGrid w:val="0"/>
                <w:color w:val="000000"/>
                <w:sz w:val="16"/>
                <w:szCs w:val="16"/>
                <w:lang w:eastAsia="ru-RU"/>
              </w:rPr>
              <w:t>ООО КБ «ГТ банк» (далее Банк)</w:t>
            </w:r>
            <w:r w:rsidR="00557B45" w:rsidRPr="00610C9B">
              <w:rPr>
                <w:rFonts w:ascii="Times New Roman" w:eastAsia="Times New Roman" w:hAnsi="Times New Roman" w:cs="Times New Roman"/>
                <w:snapToGrid w:val="0"/>
                <w:color w:val="000000"/>
                <w:sz w:val="16"/>
                <w:szCs w:val="16"/>
                <w:lang w:eastAsia="ru-RU"/>
              </w:rPr>
              <w:t>;</w:t>
            </w:r>
          </w:p>
          <w:p w:rsidR="00557B45" w:rsidRPr="00610C9B" w:rsidRDefault="00557B45" w:rsidP="00557B45">
            <w:pPr>
              <w:tabs>
                <w:tab w:val="left" w:pos="284"/>
                <w:tab w:val="left" w:pos="360"/>
              </w:tabs>
              <w:spacing w:after="0" w:line="240" w:lineRule="auto"/>
              <w:jc w:val="both"/>
              <w:rPr>
                <w:rFonts w:ascii="Arial" w:eastAsia="Times New Roman" w:hAnsi="Arial" w:cs="Arial"/>
                <w:color w:val="000000"/>
                <w:sz w:val="16"/>
                <w:szCs w:val="16"/>
                <w:lang w:eastAsia="ru-RU"/>
              </w:rPr>
            </w:pPr>
            <w:r w:rsidRPr="00610C9B">
              <w:rPr>
                <w:rFonts w:ascii="Times New Roman" w:eastAsia="Times New Roman" w:hAnsi="Times New Roman" w:cs="Times New Roman"/>
                <w:snapToGrid w:val="0"/>
                <w:color w:val="000000"/>
                <w:sz w:val="16"/>
                <w:szCs w:val="16"/>
                <w:lang w:eastAsia="ru-RU"/>
              </w:rPr>
              <w:t>-в случае повреждения имущества (частичной утраты имущества) – Лизингополучатель.</w:t>
            </w:r>
          </w:p>
        </w:tc>
      </w:tr>
      <w:tr w:rsidR="00445FA2" w:rsidRPr="00F71DBF" w:rsidTr="004E3364">
        <w:tc>
          <w:tcPr>
            <w:tcW w:w="9356" w:type="dxa"/>
            <w:gridSpan w:val="2"/>
            <w:shd w:val="clear" w:color="auto" w:fill="auto"/>
          </w:tcPr>
          <w:p w:rsidR="00445FA2" w:rsidRPr="00F71DBF" w:rsidRDefault="00445FA2" w:rsidP="004E3364">
            <w:pPr>
              <w:spacing w:after="0" w:line="240" w:lineRule="auto"/>
              <w:jc w:val="both"/>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b/>
                <w:color w:val="000000"/>
                <w:sz w:val="16"/>
                <w:szCs w:val="16"/>
                <w:lang w:eastAsia="ru-RU"/>
              </w:rPr>
              <w:t xml:space="preserve">3. Основные риски, подлежащие страхованию: </w:t>
            </w:r>
            <w:r w:rsidRPr="00F71DBF">
              <w:rPr>
                <w:rFonts w:ascii="Times New Roman" w:eastAsia="Times New Roman" w:hAnsi="Times New Roman" w:cs="Times New Roman"/>
                <w:color w:val="000000"/>
                <w:sz w:val="16"/>
                <w:szCs w:val="16"/>
                <w:lang w:eastAsia="ru-RU"/>
              </w:rPr>
              <w:t xml:space="preserve">в отношении всех видов имущества (строения, сооружения, помещения – недвижимое имущество; земельные участки; машины и оборудование; ТМЦ на складе и в обороте; инженерные сети, остекление; строения – квартиры, коттеджи, внутренняя и внешняя отделка, инженерное оборудование, движимое имущество - предметы интерьера и обстановки, мебель; бытовая техника имущество, предназначенное для индивидуального использования (одежда, обувь, посуда и </w:t>
            </w:r>
            <w:proofErr w:type="spellStart"/>
            <w:r w:rsidRPr="00F71DBF">
              <w:rPr>
                <w:rFonts w:ascii="Times New Roman" w:eastAsia="Times New Roman" w:hAnsi="Times New Roman" w:cs="Times New Roman"/>
                <w:color w:val="000000"/>
                <w:sz w:val="16"/>
                <w:szCs w:val="16"/>
                <w:lang w:eastAsia="ru-RU"/>
              </w:rPr>
              <w:t>т.п</w:t>
            </w:r>
            <w:proofErr w:type="spellEnd"/>
            <w:r w:rsidRPr="00F71DBF">
              <w:rPr>
                <w:rFonts w:ascii="Times New Roman" w:eastAsia="Times New Roman" w:hAnsi="Times New Roman" w:cs="Times New Roman"/>
                <w:color w:val="000000"/>
                <w:sz w:val="16"/>
                <w:szCs w:val="16"/>
                <w:lang w:eastAsia="ru-RU"/>
              </w:rPr>
              <w:t>))</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3.1. </w:t>
            </w:r>
          </w:p>
        </w:tc>
        <w:tc>
          <w:tcPr>
            <w:tcW w:w="8618" w:type="dxa"/>
            <w:shd w:val="clear" w:color="auto" w:fill="auto"/>
          </w:tcPr>
          <w:p w:rsidR="00445FA2" w:rsidRPr="00F71DBF" w:rsidRDefault="00445FA2" w:rsidP="004E3364">
            <w:pPr>
              <w:tabs>
                <w:tab w:val="left" w:pos="284"/>
                <w:tab w:val="left" w:pos="360"/>
              </w:tabs>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пожар, удар молнии, взрыв газа, употребляемого в бытовых и промышленных целях;</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3.2. </w:t>
            </w:r>
          </w:p>
        </w:tc>
        <w:tc>
          <w:tcPr>
            <w:tcW w:w="8618" w:type="dxa"/>
            <w:shd w:val="clear" w:color="auto" w:fill="auto"/>
          </w:tcPr>
          <w:p w:rsidR="00445FA2" w:rsidRPr="00F71DBF" w:rsidRDefault="00445FA2" w:rsidP="004E3364">
            <w:pPr>
              <w:tabs>
                <w:tab w:val="left" w:pos="284"/>
                <w:tab w:val="left" w:pos="360"/>
              </w:tabs>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стихийные бедствия (землетрясение, извержение вулкана или действие подземного огня, просадка грунта, оползни, горные обвалы, бури, вихри, ураган, смерч, удар молнии, наводнение, град или ливень, носящие особо опасный характер и необычные для данной местности и т.п.);</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3.3. </w:t>
            </w:r>
          </w:p>
        </w:tc>
        <w:tc>
          <w:tcPr>
            <w:tcW w:w="8618" w:type="dxa"/>
            <w:shd w:val="clear" w:color="auto" w:fill="auto"/>
          </w:tcPr>
          <w:p w:rsidR="00445FA2" w:rsidRPr="00F71DBF" w:rsidRDefault="00445FA2" w:rsidP="004E3364">
            <w:pPr>
              <w:tabs>
                <w:tab w:val="left" w:pos="284"/>
                <w:tab w:val="left" w:pos="360"/>
              </w:tabs>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взрыв паровых котлов, газохранилищ, газопроводов, машин, аппаратов и других аналогичных устройств;</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3.4. </w:t>
            </w:r>
          </w:p>
        </w:tc>
        <w:tc>
          <w:tcPr>
            <w:tcW w:w="8618" w:type="dxa"/>
            <w:shd w:val="clear" w:color="auto" w:fill="auto"/>
          </w:tcPr>
          <w:p w:rsidR="00445FA2" w:rsidRPr="00F71DBF" w:rsidRDefault="00445FA2" w:rsidP="004E3364">
            <w:pPr>
              <w:tabs>
                <w:tab w:val="left" w:pos="284"/>
                <w:tab w:val="left" w:pos="360"/>
              </w:tabs>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повреждение имущества водой из водопроводных, канализационных, отопительных систем и систем пожаротушения; проникновение воды или жидкости из соседних помещений;</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3.5. </w:t>
            </w:r>
          </w:p>
        </w:tc>
        <w:tc>
          <w:tcPr>
            <w:tcW w:w="8618" w:type="dxa"/>
            <w:shd w:val="clear" w:color="auto" w:fill="auto"/>
          </w:tcPr>
          <w:p w:rsidR="00445FA2" w:rsidRPr="00F71DBF" w:rsidRDefault="00445FA2" w:rsidP="004E3364">
            <w:pPr>
              <w:tabs>
                <w:tab w:val="left" w:pos="284"/>
                <w:tab w:val="left" w:pos="360"/>
              </w:tabs>
              <w:suppressAutoHyphens/>
              <w:overflowPunct w:val="0"/>
              <w:autoSpaceDE w:val="0"/>
              <w:spacing w:after="0" w:line="240" w:lineRule="auto"/>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противоправные/злоумышленные действия третьих лиц (кража со взломом, грабеж, разбой, вандализм, хулиганство, умышленное уничтожение имущества), приведшие к уничтожению или повреждению имущества;</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3.6. </w:t>
            </w:r>
          </w:p>
        </w:tc>
        <w:tc>
          <w:tcPr>
            <w:tcW w:w="8618" w:type="dxa"/>
            <w:shd w:val="clear" w:color="auto" w:fill="auto"/>
          </w:tcPr>
          <w:p w:rsidR="00445FA2" w:rsidRPr="00F71DBF" w:rsidRDefault="00445FA2" w:rsidP="004E3364">
            <w:pPr>
              <w:tabs>
                <w:tab w:val="left" w:pos="284"/>
                <w:tab w:val="left" w:pos="360"/>
              </w:tabs>
              <w:suppressAutoHyphens/>
              <w:overflowPunct w:val="0"/>
              <w:autoSpaceDE w:val="0"/>
              <w:spacing w:after="0" w:line="240" w:lineRule="auto"/>
              <w:textAlignment w:val="baseline"/>
              <w:rPr>
                <w:rFonts w:ascii="Times New Roman" w:eastAsia="Times New Roman" w:hAnsi="Times New Roman" w:cs="Times New Roman"/>
                <w:sz w:val="28"/>
                <w:szCs w:val="28"/>
                <w:lang w:eastAsia="zh-CN"/>
              </w:rPr>
            </w:pPr>
            <w:r w:rsidRPr="00F71DBF">
              <w:rPr>
                <w:rFonts w:ascii="Times New Roman" w:eastAsia="Times New Roman" w:hAnsi="Times New Roman" w:cs="Times New Roman"/>
                <w:color w:val="000000"/>
                <w:sz w:val="16"/>
                <w:szCs w:val="16"/>
                <w:lang w:eastAsia="ru-RU"/>
              </w:rPr>
              <w:t>Постороннее воздействие (падение на застрахованное имущество летательных аппаратов и/или их обломков; деревьев;</w:t>
            </w:r>
            <w:r>
              <w:rPr>
                <w:rFonts w:ascii="Times New Roman" w:eastAsia="Times New Roman" w:hAnsi="Times New Roman" w:cs="Times New Roman"/>
                <w:color w:val="000000"/>
                <w:sz w:val="16"/>
                <w:szCs w:val="16"/>
                <w:lang w:eastAsia="ru-RU"/>
              </w:rPr>
              <w:t xml:space="preserve"> столбов; матч освещения и </w:t>
            </w:r>
            <w:proofErr w:type="spellStart"/>
            <w:r>
              <w:rPr>
                <w:rFonts w:ascii="Times New Roman" w:eastAsia="Times New Roman" w:hAnsi="Times New Roman" w:cs="Times New Roman"/>
                <w:color w:val="000000"/>
                <w:sz w:val="16"/>
                <w:szCs w:val="16"/>
                <w:lang w:eastAsia="ru-RU"/>
              </w:rPr>
              <w:t>пр</w:t>
            </w:r>
            <w:proofErr w:type="spellEnd"/>
            <w:r>
              <w:rPr>
                <w:rFonts w:ascii="Times New Roman" w:eastAsia="Times New Roman" w:hAnsi="Times New Roman" w:cs="Times New Roman"/>
                <w:color w:val="000000"/>
                <w:sz w:val="16"/>
                <w:szCs w:val="16"/>
                <w:lang w:eastAsia="ru-RU"/>
              </w:rPr>
              <w:t>).</w:t>
            </w:r>
            <w:r w:rsidRPr="00F71DBF">
              <w:rPr>
                <w:rFonts w:ascii="Times New Roman" w:eastAsia="Times New Roman" w:hAnsi="Times New Roman" w:cs="Times New Roman"/>
                <w:sz w:val="28"/>
                <w:szCs w:val="28"/>
                <w:lang w:eastAsia="zh-CN"/>
              </w:rPr>
              <w:t xml:space="preserve"> </w:t>
            </w:r>
          </w:p>
        </w:tc>
      </w:tr>
      <w:tr w:rsidR="00445FA2" w:rsidRPr="00F71DBF" w:rsidTr="004E3364">
        <w:tc>
          <w:tcPr>
            <w:tcW w:w="9356" w:type="dxa"/>
            <w:gridSpan w:val="2"/>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4 Основные риски, подлежащие страхованию, в отношении всех видов Автотранспортных средств (легковые и грузовые автомобили, тягачи, автопоезда, прицепы и пр.  самоходные транспортные средства, передвигающиеся по дорогам общего пользования и иным территориям)</w:t>
            </w:r>
          </w:p>
        </w:tc>
      </w:tr>
      <w:tr w:rsidR="00445FA2" w:rsidRPr="00F71DBF" w:rsidTr="004E3364">
        <w:trPr>
          <w:trHeight w:val="56"/>
        </w:trPr>
        <w:tc>
          <w:tcPr>
            <w:tcW w:w="738" w:type="dxa"/>
            <w:shd w:val="clear" w:color="auto" w:fill="auto"/>
          </w:tcPr>
          <w:p w:rsidR="00445FA2" w:rsidRPr="001E1CF8" w:rsidRDefault="00445FA2" w:rsidP="004E3364">
            <w:pPr>
              <w:spacing w:after="0" w:line="240" w:lineRule="auto"/>
              <w:rPr>
                <w:rFonts w:ascii="Times New Roman" w:eastAsia="Times New Roman" w:hAnsi="Times New Roman" w:cs="Times New Roman"/>
                <w:color w:val="000000"/>
                <w:sz w:val="16"/>
                <w:szCs w:val="16"/>
                <w:highlight w:val="yellow"/>
                <w:lang w:eastAsia="ru-RU"/>
              </w:rPr>
            </w:pPr>
            <w:r w:rsidRPr="00445657">
              <w:rPr>
                <w:rFonts w:ascii="Times New Roman" w:eastAsia="Times New Roman" w:hAnsi="Times New Roman" w:cs="Times New Roman"/>
                <w:color w:val="000000"/>
                <w:sz w:val="16"/>
                <w:szCs w:val="16"/>
                <w:lang w:eastAsia="ru-RU"/>
              </w:rPr>
              <w:t>4.1</w:t>
            </w:r>
          </w:p>
        </w:tc>
        <w:tc>
          <w:tcPr>
            <w:tcW w:w="8618" w:type="dxa"/>
            <w:shd w:val="clear" w:color="auto" w:fill="auto"/>
          </w:tcPr>
          <w:p w:rsidR="00445FA2" w:rsidRPr="00F71DBF" w:rsidRDefault="00445657" w:rsidP="004E3364">
            <w:pPr>
              <w:suppressAutoHyphens/>
              <w:overflowPunct w:val="0"/>
              <w:autoSpaceDE w:val="0"/>
              <w:spacing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УЩЕРБ в результате ДТП, пожара от внешних и иных источников (взрыв, удар молнии</w:t>
            </w:r>
            <w:r w:rsidRPr="00445657">
              <w:rPr>
                <w:rFonts w:ascii="Times New Roman" w:eastAsia="Times New Roman" w:hAnsi="Times New Roman" w:cs="Times New Roman"/>
                <w:color w:val="000000"/>
                <w:sz w:val="16"/>
                <w:szCs w:val="16"/>
                <w:lang w:eastAsia="ru-RU"/>
              </w:rPr>
              <w:t>, самовозгорание),</w:t>
            </w:r>
            <w:r w:rsidRPr="00F71DBF">
              <w:rPr>
                <w:rFonts w:ascii="Times New Roman" w:eastAsia="Times New Roman" w:hAnsi="Times New Roman" w:cs="Times New Roman"/>
                <w:color w:val="000000"/>
                <w:sz w:val="16"/>
                <w:szCs w:val="16"/>
                <w:lang w:eastAsia="ru-RU"/>
              </w:rPr>
              <w:t xml:space="preserve"> столкновения, наезда, опрокидывания, падение в воду, стихийные действия, механическое повреждение (камни, деревья и </w:t>
            </w:r>
            <w:proofErr w:type="spellStart"/>
            <w:r w:rsidRPr="00F71DBF">
              <w:rPr>
                <w:rFonts w:ascii="Times New Roman" w:eastAsia="Times New Roman" w:hAnsi="Times New Roman" w:cs="Times New Roman"/>
                <w:color w:val="000000"/>
                <w:sz w:val="16"/>
                <w:szCs w:val="16"/>
                <w:lang w:eastAsia="ru-RU"/>
              </w:rPr>
              <w:t>пр</w:t>
            </w:r>
            <w:proofErr w:type="spellEnd"/>
            <w:r w:rsidRPr="00F71DBF">
              <w:rPr>
                <w:rFonts w:ascii="Times New Roman" w:eastAsia="Times New Roman" w:hAnsi="Times New Roman" w:cs="Times New Roman"/>
                <w:color w:val="000000"/>
                <w:sz w:val="16"/>
                <w:szCs w:val="16"/>
                <w:lang w:eastAsia="ru-RU"/>
              </w:rPr>
              <w:t>), риски УЩЕРБ вне дорог для грузовых ТС; противоправные действия третьих лиц.</w:t>
            </w:r>
          </w:p>
        </w:tc>
      </w:tr>
      <w:tr w:rsidR="00445FA2" w:rsidRPr="00F71DBF" w:rsidTr="004E3364">
        <w:trPr>
          <w:trHeight w:val="56"/>
        </w:trPr>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4.2</w:t>
            </w:r>
          </w:p>
        </w:tc>
        <w:tc>
          <w:tcPr>
            <w:tcW w:w="8618" w:type="dxa"/>
            <w:shd w:val="clear" w:color="auto" w:fill="auto"/>
          </w:tcPr>
          <w:p w:rsidR="00445FA2" w:rsidRPr="00F71DBF" w:rsidRDefault="00445FA2" w:rsidP="004E3364">
            <w:pPr>
              <w:suppressAutoHyphens/>
              <w:overflowPunct w:val="0"/>
              <w:autoSpaceDE w:val="0"/>
              <w:spacing w:after="0" w:line="240" w:lineRule="auto"/>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УГОН</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4.3</w:t>
            </w:r>
          </w:p>
        </w:tc>
        <w:tc>
          <w:tcPr>
            <w:tcW w:w="8618" w:type="dxa"/>
            <w:shd w:val="clear" w:color="auto" w:fill="auto"/>
          </w:tcPr>
          <w:p w:rsidR="00445FA2" w:rsidRPr="00F71DBF" w:rsidRDefault="00445FA2" w:rsidP="004E3364">
            <w:pPr>
              <w:suppressAutoHyphens/>
              <w:overflowPunct w:val="0"/>
              <w:autoSpaceDE w:val="0"/>
              <w:spacing w:after="0" w:line="240" w:lineRule="auto"/>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ХИЩЕНИЕ</w:t>
            </w:r>
          </w:p>
        </w:tc>
      </w:tr>
      <w:tr w:rsidR="00445FA2" w:rsidRPr="00F71DBF" w:rsidTr="004E3364">
        <w:tc>
          <w:tcPr>
            <w:tcW w:w="9356" w:type="dxa"/>
            <w:gridSpan w:val="2"/>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5 Основные риски, подлежащие страхованию в отношении всех видов СПЕЦИАЛИЗИРОВАННОЙ ТЕХНИКИ и передвижного оборудования</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5.1</w:t>
            </w:r>
          </w:p>
        </w:tc>
        <w:tc>
          <w:tcPr>
            <w:tcW w:w="8618" w:type="dxa"/>
            <w:shd w:val="clear" w:color="auto" w:fill="auto"/>
          </w:tcPr>
          <w:p w:rsidR="00445FA2" w:rsidRPr="00F71DBF" w:rsidRDefault="00445FA2" w:rsidP="004E3364">
            <w:pPr>
              <w:tabs>
                <w:tab w:val="left" w:pos="284"/>
                <w:tab w:val="left" w:pos="360"/>
              </w:tabs>
              <w:suppressAutoHyphens/>
              <w:overflowPunct w:val="0"/>
              <w:autoSpaceDE w:val="0"/>
              <w:spacing w:after="0" w:line="240" w:lineRule="auto"/>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пожар, вследствие удара молнии, взрыва, неисправности электрооборудования в том числе ущерб при погрузке/разгрузке техники на специализированную платформу, предназначенную для перевозки техники </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5.2</w:t>
            </w:r>
          </w:p>
        </w:tc>
        <w:tc>
          <w:tcPr>
            <w:tcW w:w="8618" w:type="dxa"/>
            <w:shd w:val="clear" w:color="auto" w:fill="auto"/>
          </w:tcPr>
          <w:p w:rsidR="00445FA2" w:rsidRPr="00F71DBF" w:rsidRDefault="00445FA2" w:rsidP="004E3364">
            <w:pPr>
              <w:tabs>
                <w:tab w:val="left" w:pos="284"/>
                <w:tab w:val="left" w:pos="360"/>
              </w:tabs>
              <w:suppressAutoHyphens/>
              <w:overflowPunct w:val="0"/>
              <w:autoSpaceDE w:val="0"/>
              <w:spacing w:after="0" w:line="240" w:lineRule="auto"/>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 стихийные бедствия – град, камнепад, наводнение, оползень, цунами, буря, ураган, землетрясение</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5.3</w:t>
            </w:r>
          </w:p>
        </w:tc>
        <w:tc>
          <w:tcPr>
            <w:tcW w:w="8618" w:type="dxa"/>
            <w:shd w:val="clear" w:color="auto" w:fill="auto"/>
          </w:tcPr>
          <w:p w:rsidR="00445FA2" w:rsidRPr="00F71DBF" w:rsidRDefault="00445FA2" w:rsidP="004E3364">
            <w:pPr>
              <w:tabs>
                <w:tab w:val="left" w:pos="284"/>
                <w:tab w:val="left" w:pos="360"/>
              </w:tabs>
              <w:suppressAutoHyphens/>
              <w:overflowPunct w:val="0"/>
              <w:autoSpaceDE w:val="0"/>
              <w:spacing w:after="0" w:line="240" w:lineRule="auto"/>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противоправные действия третьих лиц, хулиганство, вандализм</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5.4</w:t>
            </w:r>
          </w:p>
        </w:tc>
        <w:tc>
          <w:tcPr>
            <w:tcW w:w="8618" w:type="dxa"/>
            <w:shd w:val="clear" w:color="auto" w:fill="auto"/>
          </w:tcPr>
          <w:p w:rsidR="00445FA2" w:rsidRPr="00F71DBF" w:rsidRDefault="00445FA2" w:rsidP="004E3364">
            <w:pPr>
              <w:tabs>
                <w:tab w:val="left" w:pos="284"/>
                <w:tab w:val="left" w:pos="360"/>
              </w:tabs>
              <w:suppressAutoHyphens/>
              <w:overflowPunct w:val="0"/>
              <w:autoSpaceDE w:val="0"/>
              <w:spacing w:after="0" w:line="240" w:lineRule="auto"/>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ДТП, столкновение с различными предметами (в том числе с транспортными средствами); наезд на неподвижные или движущиеся предметы, сооружения, препятствия</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5.5</w:t>
            </w:r>
          </w:p>
        </w:tc>
        <w:tc>
          <w:tcPr>
            <w:tcW w:w="8618" w:type="dxa"/>
            <w:shd w:val="clear" w:color="auto" w:fill="auto"/>
          </w:tcPr>
          <w:p w:rsidR="00445FA2" w:rsidRPr="00F71DBF" w:rsidRDefault="00445FA2" w:rsidP="004E3364">
            <w:pPr>
              <w:tabs>
                <w:tab w:val="left" w:pos="284"/>
                <w:tab w:val="left" w:pos="360"/>
              </w:tabs>
              <w:suppressAutoHyphens/>
              <w:overflowPunct w:val="0"/>
              <w:autoSpaceDE w:val="0"/>
              <w:spacing w:after="0" w:line="240" w:lineRule="auto"/>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Повреждение посторонним предметом</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5.6</w:t>
            </w:r>
          </w:p>
        </w:tc>
        <w:tc>
          <w:tcPr>
            <w:tcW w:w="8618" w:type="dxa"/>
            <w:shd w:val="clear" w:color="auto" w:fill="auto"/>
          </w:tcPr>
          <w:p w:rsidR="00445FA2" w:rsidRPr="00F71DBF" w:rsidRDefault="00445FA2" w:rsidP="004E3364">
            <w:pPr>
              <w:tabs>
                <w:tab w:val="left" w:pos="284"/>
                <w:tab w:val="left" w:pos="360"/>
              </w:tabs>
              <w:suppressAutoHyphens/>
              <w:overflowPunct w:val="0"/>
              <w:autoSpaceDE w:val="0"/>
              <w:spacing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При этом возмещаются убытки, ставшие следствием наступления застрахованных по договору рисков, в период перевозки застрахованного имущества на специализированной платформе, предназначенной для перевозки техники, при условии, что такая перевозка осуществлялась по дорогам общего пользования, а также во время перегона самоходной специализированной техники с одной производственной площадки на другую, и/или перегона с места стоянки до производственного участка и обратно.</w:t>
            </w:r>
          </w:p>
        </w:tc>
      </w:tr>
      <w:tr w:rsidR="00445FA2" w:rsidRPr="00F71DBF" w:rsidTr="004E3364">
        <w:tc>
          <w:tcPr>
            <w:tcW w:w="9356" w:type="dxa"/>
            <w:gridSpan w:val="2"/>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b/>
                <w:color w:val="000000"/>
                <w:sz w:val="16"/>
                <w:szCs w:val="16"/>
                <w:lang w:eastAsia="ru-RU"/>
              </w:rPr>
              <w:t>6 Страховая премия</w:t>
            </w:r>
            <w:r w:rsidRPr="00F71DBF" w:rsidDel="00795002">
              <w:rPr>
                <w:rFonts w:ascii="Times New Roman" w:eastAsia="Times New Roman" w:hAnsi="Times New Roman" w:cs="Times New Roman"/>
                <w:color w:val="000000"/>
                <w:sz w:val="16"/>
                <w:szCs w:val="16"/>
                <w:lang w:eastAsia="ru-RU"/>
              </w:rPr>
              <w:t xml:space="preserve"> </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 xml:space="preserve">6.1 </w:t>
            </w:r>
          </w:p>
        </w:tc>
        <w:tc>
          <w:tcPr>
            <w:tcW w:w="8618" w:type="dxa"/>
            <w:shd w:val="clear" w:color="auto" w:fill="auto"/>
          </w:tcPr>
          <w:p w:rsidR="00445FA2" w:rsidRPr="00F71DBF" w:rsidRDefault="00445FA2" w:rsidP="004E3364">
            <w:pPr>
              <w:tabs>
                <w:tab w:val="left" w:pos="284"/>
                <w:tab w:val="left" w:pos="360"/>
              </w:tabs>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Страховая премия оплачивается страхователем.</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6.2</w:t>
            </w:r>
          </w:p>
        </w:tc>
        <w:tc>
          <w:tcPr>
            <w:tcW w:w="8618" w:type="dxa"/>
            <w:shd w:val="clear" w:color="auto" w:fill="auto"/>
          </w:tcPr>
          <w:p w:rsidR="00445FA2" w:rsidRPr="00F71DBF" w:rsidRDefault="003A6874" w:rsidP="00A759BC">
            <w:pPr>
              <w:tabs>
                <w:tab w:val="left" w:pos="284"/>
                <w:tab w:val="left" w:pos="360"/>
              </w:tabs>
              <w:spacing w:after="0" w:line="240" w:lineRule="auto"/>
              <w:rPr>
                <w:rFonts w:ascii="Times New Roman" w:eastAsia="Times New Roman" w:hAnsi="Times New Roman" w:cs="Times New Roman"/>
                <w:color w:val="000000"/>
                <w:sz w:val="16"/>
                <w:szCs w:val="16"/>
                <w:lang w:eastAsia="ru-RU"/>
              </w:rPr>
            </w:pPr>
            <w:r w:rsidRPr="00613F3C">
              <w:rPr>
                <w:rFonts w:ascii="Times New Roman" w:eastAsia="Times New Roman" w:hAnsi="Times New Roman" w:cs="Times New Roman"/>
                <w:color w:val="000000"/>
                <w:sz w:val="16"/>
                <w:szCs w:val="16"/>
                <w:lang w:eastAsia="ru-RU"/>
              </w:rPr>
              <w:t xml:space="preserve">Страховая премия может быть уплачена Страхователем единовременно − разовым платежом за весь срок страхования или в рассрочку </w:t>
            </w:r>
            <w:r w:rsidR="00A759BC" w:rsidRPr="00613F3C">
              <w:rPr>
                <w:rFonts w:ascii="Times New Roman" w:eastAsia="Times New Roman" w:hAnsi="Times New Roman" w:cs="Times New Roman"/>
                <w:color w:val="000000"/>
                <w:sz w:val="16"/>
                <w:szCs w:val="16"/>
                <w:lang w:eastAsia="ru-RU"/>
              </w:rPr>
              <w:t>(страховые взносы за отдельные периоды страхования уплачиваются в порядке и в сроки, указанные в Договоре страхования)</w:t>
            </w:r>
            <w:bookmarkStart w:id="0" w:name="_GoBack"/>
            <w:bookmarkEnd w:id="0"/>
          </w:p>
        </w:tc>
      </w:tr>
      <w:tr w:rsidR="00445FA2" w:rsidRPr="00F71DBF" w:rsidTr="004E3364">
        <w:tc>
          <w:tcPr>
            <w:tcW w:w="9356" w:type="dxa"/>
            <w:gridSpan w:val="2"/>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7 Срок договора страхования.</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7.1</w:t>
            </w:r>
          </w:p>
        </w:tc>
        <w:tc>
          <w:tcPr>
            <w:tcW w:w="8618" w:type="dxa"/>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Срок действия договора страхования должен составлять не менее чем срок действия договора залога, увеличенный на один месяц. Если отсутствует возможность застраховать на весь срок действия договора залога, возможно страхование на срок не менее 1 (Одного) года с дальнейшей ежегодной пролонгацией страхования до момента закрытия договора залога увеличенный на один месяц.</w:t>
            </w:r>
          </w:p>
        </w:tc>
      </w:tr>
      <w:tr w:rsidR="00445FA2" w:rsidRPr="00F71DBF" w:rsidTr="004E3364">
        <w:tc>
          <w:tcPr>
            <w:tcW w:w="9356" w:type="dxa"/>
            <w:gridSpan w:val="2"/>
            <w:shd w:val="clear" w:color="auto" w:fill="auto"/>
          </w:tcPr>
          <w:p w:rsidR="00445FA2" w:rsidRPr="00F71DBF" w:rsidRDefault="00445FA2" w:rsidP="004E3364">
            <w:pPr>
              <w:spacing w:after="0" w:line="240" w:lineRule="auto"/>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b/>
                <w:color w:val="000000"/>
                <w:sz w:val="16"/>
                <w:szCs w:val="16"/>
                <w:lang w:eastAsia="ru-RU"/>
              </w:rPr>
              <w:t>8 Обязанности Страховщика</w:t>
            </w:r>
            <w:r w:rsidRPr="00F71DBF" w:rsidDel="00795002">
              <w:rPr>
                <w:rFonts w:ascii="Times New Roman" w:eastAsia="Times New Roman" w:hAnsi="Times New Roman" w:cs="Times New Roman"/>
                <w:color w:val="000000"/>
                <w:sz w:val="16"/>
                <w:szCs w:val="16"/>
                <w:lang w:eastAsia="ru-RU"/>
              </w:rPr>
              <w:t xml:space="preserve"> </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8.1</w:t>
            </w:r>
          </w:p>
        </w:tc>
        <w:tc>
          <w:tcPr>
            <w:tcW w:w="8618" w:type="dxa"/>
            <w:shd w:val="clear" w:color="auto" w:fill="auto"/>
          </w:tcPr>
          <w:p w:rsidR="00445FA2" w:rsidRPr="00F71DBF" w:rsidRDefault="00445FA2" w:rsidP="004E3364">
            <w:pPr>
              <w:suppressAutoHyphens/>
              <w:overflowPunct w:val="0"/>
              <w:autoSpaceDE w:val="0"/>
              <w:spacing w:before="60"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сообщение Банку о факте замены выгодоприобретателя по договору страхования в тех случаях, когда она допускается действующим законодательством, и фактах неуплаты страхователем страховой премии в срок, предусмотренный договором страхования;</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8.2</w:t>
            </w:r>
          </w:p>
        </w:tc>
        <w:tc>
          <w:tcPr>
            <w:tcW w:w="8618" w:type="dxa"/>
            <w:shd w:val="clear" w:color="auto" w:fill="auto"/>
          </w:tcPr>
          <w:p w:rsidR="00445FA2" w:rsidRPr="00F71DBF" w:rsidRDefault="00445FA2" w:rsidP="004E3364">
            <w:pPr>
              <w:suppressAutoHyphens/>
              <w:overflowPunct w:val="0"/>
              <w:autoSpaceDE w:val="0"/>
              <w:spacing w:before="60"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извещение Банка об изменении условий страхования;</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lastRenderedPageBreak/>
              <w:t>8.3</w:t>
            </w:r>
          </w:p>
        </w:tc>
        <w:tc>
          <w:tcPr>
            <w:tcW w:w="8618" w:type="dxa"/>
            <w:shd w:val="clear" w:color="auto" w:fill="auto"/>
          </w:tcPr>
          <w:p w:rsidR="00445FA2" w:rsidRPr="00F71DBF" w:rsidRDefault="00445FA2" w:rsidP="004E3364">
            <w:pPr>
              <w:suppressAutoHyphens/>
              <w:overflowPunct w:val="0"/>
              <w:autoSpaceDE w:val="0"/>
              <w:spacing w:before="60"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уведомление Банка обо всех ставших известными Залогодателю случаях значительных изменений в обстоятельствах, сообщенных Страховщику при заключении договора, если эти обстоятельства могут существенно повлиять на увеличение страхового риска;</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8.4</w:t>
            </w:r>
          </w:p>
        </w:tc>
        <w:tc>
          <w:tcPr>
            <w:tcW w:w="8618" w:type="dxa"/>
            <w:shd w:val="clear" w:color="auto" w:fill="auto"/>
          </w:tcPr>
          <w:p w:rsidR="00445FA2" w:rsidRPr="00F71DBF" w:rsidRDefault="00445FA2" w:rsidP="004E3364">
            <w:pPr>
              <w:suppressAutoHyphens/>
              <w:overflowPunct w:val="0"/>
              <w:autoSpaceDE w:val="0"/>
              <w:spacing w:before="60"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извещение Банка о наступлении страхового случая;</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8.5</w:t>
            </w:r>
          </w:p>
        </w:tc>
        <w:tc>
          <w:tcPr>
            <w:tcW w:w="8618" w:type="dxa"/>
            <w:shd w:val="clear" w:color="auto" w:fill="auto"/>
          </w:tcPr>
          <w:p w:rsidR="00445FA2" w:rsidRPr="00F71DBF" w:rsidRDefault="00445FA2" w:rsidP="004E3364">
            <w:pPr>
              <w:suppressAutoHyphens/>
              <w:overflowPunct w:val="0"/>
              <w:autoSpaceDE w:val="0"/>
              <w:spacing w:before="60"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рассмотрение заявления от страхователя или выгодоприобретателя о наступлении страхового случая и оформление страхового акта в течение не более чем 10-ти рабочих дней с даты получения необходимых для урегулирования убытков документов, подтверждающих причину страхового случая, размер ущерба и иных документов в соответствии с договором и правилами страхования;</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8.6</w:t>
            </w:r>
          </w:p>
        </w:tc>
        <w:tc>
          <w:tcPr>
            <w:tcW w:w="8618" w:type="dxa"/>
            <w:shd w:val="clear" w:color="auto" w:fill="auto"/>
          </w:tcPr>
          <w:p w:rsidR="00445FA2" w:rsidRPr="00F71DBF" w:rsidRDefault="00445FA2" w:rsidP="004E3364">
            <w:pPr>
              <w:suppressAutoHyphens/>
              <w:overflowPunct w:val="0"/>
              <w:autoSpaceDE w:val="0"/>
              <w:spacing w:before="60"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оформление страхового акта с указанием размера ущерба, причины наступления страхового случая, решения о выплате (отказе в выплате), размере выплаты (причине отказа);</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8.7</w:t>
            </w:r>
          </w:p>
        </w:tc>
        <w:tc>
          <w:tcPr>
            <w:tcW w:w="8618" w:type="dxa"/>
            <w:shd w:val="clear" w:color="auto" w:fill="auto"/>
          </w:tcPr>
          <w:p w:rsidR="00445FA2" w:rsidRPr="00F71DBF" w:rsidRDefault="00445FA2" w:rsidP="004E3364">
            <w:pPr>
              <w:suppressAutoHyphens/>
              <w:overflowPunct w:val="0"/>
              <w:autoSpaceDE w:val="0"/>
              <w:spacing w:before="60"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принятие решения о выплате страхового возмещения в течение 5-ти рабочих дней после подписания страхового акта;</w:t>
            </w:r>
          </w:p>
        </w:tc>
      </w:tr>
      <w:tr w:rsidR="00445FA2" w:rsidRPr="00F71DBF" w:rsidTr="004E3364">
        <w:tc>
          <w:tcPr>
            <w:tcW w:w="738" w:type="dxa"/>
            <w:shd w:val="clear" w:color="auto" w:fill="auto"/>
          </w:tcPr>
          <w:p w:rsidR="00445FA2" w:rsidRPr="00F71DBF" w:rsidRDefault="00445FA2" w:rsidP="004E3364">
            <w:pPr>
              <w:spacing w:after="0" w:line="240" w:lineRule="auto"/>
              <w:rPr>
                <w:rFonts w:ascii="Times New Roman" w:eastAsia="Times New Roman" w:hAnsi="Times New Roman" w:cs="Times New Roman"/>
                <w:b/>
                <w:color w:val="000000"/>
                <w:sz w:val="16"/>
                <w:szCs w:val="16"/>
                <w:lang w:eastAsia="ru-RU"/>
              </w:rPr>
            </w:pPr>
            <w:r w:rsidRPr="00F71DBF">
              <w:rPr>
                <w:rFonts w:ascii="Times New Roman" w:eastAsia="Times New Roman" w:hAnsi="Times New Roman" w:cs="Times New Roman"/>
                <w:b/>
                <w:color w:val="000000"/>
                <w:sz w:val="16"/>
                <w:szCs w:val="16"/>
                <w:lang w:eastAsia="ru-RU"/>
              </w:rPr>
              <w:t>8.8</w:t>
            </w:r>
          </w:p>
        </w:tc>
        <w:tc>
          <w:tcPr>
            <w:tcW w:w="8618" w:type="dxa"/>
            <w:shd w:val="clear" w:color="auto" w:fill="auto"/>
          </w:tcPr>
          <w:p w:rsidR="00445FA2" w:rsidRPr="00F71DBF" w:rsidRDefault="00445FA2" w:rsidP="004E3364">
            <w:pPr>
              <w:suppressAutoHyphens/>
              <w:overflowPunct w:val="0"/>
              <w:autoSpaceDE w:val="0"/>
              <w:spacing w:before="60" w:after="0" w:line="240" w:lineRule="auto"/>
              <w:jc w:val="both"/>
              <w:textAlignment w:val="baseline"/>
              <w:rPr>
                <w:rFonts w:ascii="Times New Roman" w:eastAsia="Times New Roman" w:hAnsi="Times New Roman" w:cs="Times New Roman"/>
                <w:color w:val="000000"/>
                <w:sz w:val="16"/>
                <w:szCs w:val="16"/>
                <w:lang w:eastAsia="ru-RU"/>
              </w:rPr>
            </w:pPr>
            <w:r w:rsidRPr="00F71DBF">
              <w:rPr>
                <w:rFonts w:ascii="Times New Roman" w:eastAsia="Times New Roman" w:hAnsi="Times New Roman" w:cs="Times New Roman"/>
                <w:color w:val="000000"/>
                <w:sz w:val="16"/>
                <w:szCs w:val="16"/>
                <w:lang w:eastAsia="ru-RU"/>
              </w:rPr>
              <w:t>осуществление выплаты страхового возмещения в течение 10-ти рабочих дней с момента принятия решения о выплате, либо иной разумный срок, согласованный со страхователем и выгодоприобретателем при заключении договора страхования, исходя из конкретных условий страхования.</w:t>
            </w:r>
          </w:p>
        </w:tc>
      </w:tr>
    </w:tbl>
    <w:p w:rsidR="00CF6103" w:rsidRDefault="00CF6103" w:rsidP="00CF6103">
      <w:pPr>
        <w:suppressAutoHyphens/>
        <w:spacing w:after="0" w:line="240" w:lineRule="auto"/>
        <w:ind w:firstLine="426"/>
        <w:jc w:val="both"/>
        <w:textAlignment w:val="baseline"/>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Договор имущественного страхования может содержать условие о франшизе (предусмотренное условиями страхования освобождение страховщика от возмещения оговоренной части убытков страхователя). Франшиза может быть выражена как пропорциональная доля (в процентах от страховой суммы) либо как абсолютная величина (в денежном выражении).</w:t>
      </w:r>
    </w:p>
    <w:p w:rsidR="00CF6103" w:rsidRDefault="00CF6103" w:rsidP="00CF6103">
      <w:pPr>
        <w:suppressAutoHyphens/>
        <w:spacing w:after="0" w:line="240" w:lineRule="auto"/>
        <w:ind w:firstLine="426"/>
        <w:jc w:val="both"/>
        <w:textAlignment w:val="baseline"/>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Размер франшизы не может превышать следующих установленных значений, если иное не предусмотрено решением Уполномоченного органа Банка:</w:t>
      </w:r>
    </w:p>
    <w:p w:rsidR="00CF6103" w:rsidRDefault="00CF6103" w:rsidP="00CF6103">
      <w:pPr>
        <w:suppressAutoHyphens/>
        <w:spacing w:after="0" w:line="240" w:lineRule="auto"/>
        <w:ind w:firstLine="426"/>
        <w:jc w:val="both"/>
        <w:textAlignment w:val="baseline"/>
        <w:rPr>
          <w:rFonts w:ascii="Times New Roman" w:eastAsia="Times New Roman" w:hAnsi="Times New Roman" w:cs="Times New Roman"/>
          <w:color w:val="000000"/>
          <w:sz w:val="18"/>
          <w:szCs w:val="18"/>
          <w:lang w:eastAsia="zh-CN"/>
        </w:rPr>
      </w:pPr>
    </w:p>
    <w:tbl>
      <w:tblPr>
        <w:tblpPr w:leftFromText="180" w:rightFromText="180" w:vertAnchor="text" w:tblpXSpec="center" w:tblpY="1"/>
        <w:tblW w:w="9667" w:type="dxa"/>
        <w:jc w:val="center"/>
        <w:tblBorders>
          <w:top w:val="single" w:sz="4" w:space="0" w:color="00000A"/>
          <w:left w:val="single" w:sz="4" w:space="0" w:color="00000A"/>
        </w:tblBorders>
        <w:tblCellMar>
          <w:left w:w="-5" w:type="dxa"/>
          <w:right w:w="0" w:type="dxa"/>
        </w:tblCellMar>
        <w:tblLook w:val="0000" w:firstRow="0" w:lastRow="0" w:firstColumn="0" w:lastColumn="0" w:noHBand="0" w:noVBand="0"/>
      </w:tblPr>
      <w:tblGrid>
        <w:gridCol w:w="5817"/>
        <w:gridCol w:w="3850"/>
      </w:tblGrid>
      <w:tr w:rsidR="00CF6103" w:rsidTr="000E5696">
        <w:trPr>
          <w:trHeight w:hRule="exact" w:val="638"/>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right="1780"/>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Вид имущества</w:t>
            </w:r>
          </w:p>
        </w:tc>
        <w:tc>
          <w:tcPr>
            <w:tcW w:w="3850" w:type="dxa"/>
            <w:tcBorders>
              <w:top w:val="single" w:sz="4" w:space="0" w:color="00000A"/>
              <w:left w:val="single" w:sz="4" w:space="0" w:color="00000A"/>
              <w:right w:val="single" w:sz="4" w:space="0" w:color="00000A"/>
            </w:tcBorders>
            <w:shd w:val="clear" w:color="auto" w:fill="FFFFFF"/>
            <w:tcMar>
              <w:left w:w="-5" w:type="dxa"/>
            </w:tcMar>
          </w:tcPr>
          <w:p w:rsidR="00CF6103" w:rsidRDefault="00CF6103" w:rsidP="000E5696">
            <w:pPr>
              <w:widowControl w:val="0"/>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Предельный размер франшизы в % от страховой суммы или в руб.</w:t>
            </w:r>
          </w:p>
        </w:tc>
      </w:tr>
      <w:tr w:rsidR="00CF6103" w:rsidTr="000E5696">
        <w:trPr>
          <w:trHeight w:hRule="exact" w:val="220"/>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right="308" w:firstLine="147"/>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Недвижимость, в том числе земельные участки</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 но не более 150 тыс. руб.</w:t>
            </w:r>
          </w:p>
        </w:tc>
      </w:tr>
      <w:tr w:rsidR="00CF6103" w:rsidTr="000E5696">
        <w:trPr>
          <w:trHeight w:hRule="exact" w:val="280"/>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Оборудование до 1 000 тыс. руб.</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 но не более 50 тыс. руб.</w:t>
            </w:r>
          </w:p>
        </w:tc>
      </w:tr>
      <w:tr w:rsidR="00CF6103" w:rsidTr="000E5696">
        <w:trPr>
          <w:trHeight w:hRule="exact" w:val="283"/>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Оборудование от 1 000 тыс. руб. до 5 000 тыс. руб.</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 но не более 100 тыс. руб.</w:t>
            </w:r>
          </w:p>
        </w:tc>
      </w:tr>
      <w:tr w:rsidR="00CF6103" w:rsidTr="000E5696">
        <w:trPr>
          <w:trHeight w:hRule="exact" w:val="287"/>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Оборудование от 5 000 тыс. руб.</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 но не более 100 тыс. руб.</w:t>
            </w:r>
          </w:p>
        </w:tc>
      </w:tr>
      <w:tr w:rsidR="00CF6103" w:rsidTr="000E5696">
        <w:trPr>
          <w:trHeight w:hRule="exact" w:val="277"/>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ТС стоимостью до 1 000 тыс. руб.</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 но не более 50 тыс. руб.</w:t>
            </w:r>
          </w:p>
        </w:tc>
      </w:tr>
      <w:tr w:rsidR="00CF6103" w:rsidTr="000E5696">
        <w:trPr>
          <w:trHeight w:hRule="exact" w:val="295"/>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ТС стоимостью от 1 000 тыс. руб. до 2 500 тыс. руб.</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 но не более 75 тыс. руб.</w:t>
            </w:r>
          </w:p>
        </w:tc>
      </w:tr>
      <w:tr w:rsidR="00CF6103" w:rsidTr="000E5696">
        <w:trPr>
          <w:trHeight w:hRule="exact" w:val="285"/>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ТС стоимостью свыше 2 500 тыс. руб.</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 но не более 150 тыс. руб.</w:t>
            </w:r>
          </w:p>
        </w:tc>
      </w:tr>
      <w:tr w:rsidR="00CF6103" w:rsidTr="000E5696">
        <w:trPr>
          <w:trHeight w:hRule="exact" w:val="290"/>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Спецтехника стоимостью до 5 000 тыс. руб.</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 но не более 100 тыс. руб.</w:t>
            </w:r>
          </w:p>
        </w:tc>
      </w:tr>
      <w:tr w:rsidR="00CF6103" w:rsidTr="000E5696">
        <w:trPr>
          <w:trHeight w:hRule="exact" w:val="279"/>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Спецтехника стоимостью от 5 000 тыс. руб. до 15 000 тыс. руб.</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 но не более 150 тыс. руб.</w:t>
            </w:r>
          </w:p>
        </w:tc>
      </w:tr>
      <w:tr w:rsidR="00CF6103" w:rsidTr="000E5696">
        <w:trPr>
          <w:trHeight w:hRule="exact" w:val="283"/>
          <w:jc w:val="center"/>
        </w:trPr>
        <w:tc>
          <w:tcPr>
            <w:tcW w:w="5816" w:type="dxa"/>
            <w:tcBorders>
              <w:top w:val="single" w:sz="4" w:space="0" w:color="00000A"/>
              <w:left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Спецтехника стоимостью свыше 15 000 тыс. руб.</w:t>
            </w:r>
          </w:p>
        </w:tc>
        <w:tc>
          <w:tcPr>
            <w:tcW w:w="3850" w:type="dxa"/>
            <w:tcBorders>
              <w:top w:val="single" w:sz="4" w:space="0" w:color="00000A"/>
              <w:left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 но не более 300 тыс. руб.</w:t>
            </w:r>
          </w:p>
        </w:tc>
      </w:tr>
      <w:tr w:rsidR="00CF6103" w:rsidTr="000E5696">
        <w:trPr>
          <w:trHeight w:hRule="exact" w:val="287"/>
          <w:jc w:val="center"/>
        </w:trPr>
        <w:tc>
          <w:tcPr>
            <w:tcW w:w="5816" w:type="dxa"/>
            <w:tcBorders>
              <w:top w:val="single" w:sz="4" w:space="0" w:color="00000A"/>
              <w:left w:val="single" w:sz="4" w:space="0" w:color="00000A"/>
              <w:bottom w:val="single" w:sz="4" w:space="0" w:color="00000A"/>
            </w:tcBorders>
            <w:shd w:val="clear" w:color="auto" w:fill="FFFFFF"/>
            <w:tcMar>
              <w:left w:w="-5" w:type="dxa"/>
            </w:tcMar>
            <w:vAlign w:val="center"/>
          </w:tcPr>
          <w:p w:rsidR="00CF6103" w:rsidRDefault="00CF6103" w:rsidP="000E5696">
            <w:pPr>
              <w:widowControl w:val="0"/>
              <w:spacing w:after="0" w:line="240" w:lineRule="auto"/>
              <w:ind w:left="16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Товарно-материальные ценности</w:t>
            </w:r>
          </w:p>
        </w:tc>
        <w:tc>
          <w:tcPr>
            <w:tcW w:w="385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CF6103" w:rsidRDefault="00CF6103" w:rsidP="000E5696">
            <w:pPr>
              <w:widowControl w:val="0"/>
              <w:spacing w:after="0" w:line="240" w:lineRule="auto"/>
              <w:ind w:left="720" w:firstLine="1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 но не более 100 тыс. руб.</w:t>
            </w:r>
          </w:p>
        </w:tc>
      </w:tr>
    </w:tbl>
    <w:p w:rsidR="00CF6103" w:rsidRDefault="00CF6103" w:rsidP="00CF6103">
      <w:pPr>
        <w:widowControl w:val="0"/>
        <w:spacing w:after="0" w:line="240" w:lineRule="auto"/>
        <w:rPr>
          <w:rFonts w:ascii="Courier New" w:eastAsia="Times New Roman" w:hAnsi="Courier New" w:cs="Courier New"/>
          <w:color w:val="000000"/>
          <w:sz w:val="18"/>
          <w:szCs w:val="18"/>
          <w:lang w:eastAsia="ru-RU"/>
        </w:rPr>
      </w:pPr>
    </w:p>
    <w:p w:rsidR="00CF6103" w:rsidRDefault="00CF6103" w:rsidP="00CF6103">
      <w:pPr>
        <w:widowControl w:val="0"/>
        <w:spacing w:after="0" w:line="240" w:lineRule="auto"/>
        <w:ind w:left="23" w:right="23" w:firstLine="561"/>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При включении условия о франшизе в Договор имущественного страхования минимальный размер страховой суммы должен быть не менее залоговой стоимости имущества, увеличенной на сумму франшизы.</w:t>
      </w:r>
    </w:p>
    <w:p w:rsidR="00445FA2" w:rsidRPr="00445FA2" w:rsidRDefault="00445FA2"/>
    <w:sectPr w:rsidR="00445FA2" w:rsidRPr="00445F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5CC08C0A"/>
    <w:lvl w:ilvl="0">
      <w:start w:val="1"/>
      <w:numFmt w:val="decimal"/>
      <w:lvlText w:val="%1."/>
      <w:lvlJc w:val="left"/>
      <w:rPr>
        <w:rFonts w:ascii="Times New Roman" w:hAnsi="Times New Roman" w:cs="Times New Roman"/>
        <w:b/>
        <w:bCs w:val="0"/>
        <w:i w:val="0"/>
        <w:iCs w:val="0"/>
        <w:smallCaps w:val="0"/>
        <w:strike w:val="0"/>
        <w:color w:val="000000"/>
        <w:spacing w:val="1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bCs w:val="0"/>
        <w:i w:val="0"/>
        <w:iCs w:val="0"/>
        <w:smallCaps w:val="0"/>
        <w:strike w:val="0"/>
        <w:color w:val="000000"/>
        <w:spacing w:val="0"/>
        <w:w w:val="100"/>
        <w:position w:val="0"/>
        <w:sz w:val="23"/>
        <w:szCs w:val="23"/>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741762A"/>
    <w:multiLevelType w:val="multilevel"/>
    <w:tmpl w:val="3A064F3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 w15:restartNumberingAfterBreak="0">
    <w:nsid w:val="26831DD0"/>
    <w:multiLevelType w:val="hybridMultilevel"/>
    <w:tmpl w:val="347A7B34"/>
    <w:lvl w:ilvl="0" w:tplc="181C4DA6">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D96A0C"/>
    <w:multiLevelType w:val="multilevel"/>
    <w:tmpl w:val="5D700E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 w15:restartNumberingAfterBreak="0">
    <w:nsid w:val="7E53788A"/>
    <w:multiLevelType w:val="hybridMultilevel"/>
    <w:tmpl w:val="347A7B34"/>
    <w:lvl w:ilvl="0" w:tplc="181C4DA6">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FA2"/>
    <w:rsid w:val="001E1CF8"/>
    <w:rsid w:val="003A6874"/>
    <w:rsid w:val="003E5E7E"/>
    <w:rsid w:val="00445657"/>
    <w:rsid w:val="00445FA2"/>
    <w:rsid w:val="004E5ACC"/>
    <w:rsid w:val="004F6E72"/>
    <w:rsid w:val="00557B45"/>
    <w:rsid w:val="00610C9B"/>
    <w:rsid w:val="00613F3C"/>
    <w:rsid w:val="007815C6"/>
    <w:rsid w:val="0083344D"/>
    <w:rsid w:val="009D47FA"/>
    <w:rsid w:val="00A759BC"/>
    <w:rsid w:val="00AC075D"/>
    <w:rsid w:val="00AD12C2"/>
    <w:rsid w:val="00BA2EDA"/>
    <w:rsid w:val="00BC337C"/>
    <w:rsid w:val="00CF6103"/>
    <w:rsid w:val="00D218CC"/>
    <w:rsid w:val="00D52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6967E-3091-4843-8245-952ACDD3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0C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E5AC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E5A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1267</Words>
  <Characters>7227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Пискунова Наталья Александров</dc:creator>
  <cp:keywords/>
  <dc:description/>
  <cp:lastModifiedBy>Пич Валерий Георгиевич</cp:lastModifiedBy>
  <cp:revision>2</cp:revision>
  <cp:lastPrinted>2024-12-11T11:14:00Z</cp:lastPrinted>
  <dcterms:created xsi:type="dcterms:W3CDTF">2024-12-12T12:21:00Z</dcterms:created>
  <dcterms:modified xsi:type="dcterms:W3CDTF">2024-12-12T12:21:00Z</dcterms:modified>
</cp:coreProperties>
</file>